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776D9" w14:textId="77777777" w:rsidR="005C5236" w:rsidRPr="00D00EAF" w:rsidRDefault="005C5236" w:rsidP="005C5236">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bookmarkStart w:id="0" w:name="_Ref519310164"/>
      <w:bookmarkStart w:id="1" w:name="_Toc519591986"/>
      <w:bookmarkStart w:id="2" w:name="_Toc519600074"/>
      <w:bookmarkStart w:id="3" w:name="_Ref522323480"/>
      <w:bookmarkStart w:id="4" w:name="_Toc523225498"/>
      <w:r w:rsidRPr="00D00EAF">
        <w:rPr>
          <w:rFonts w:asciiTheme="majorHAnsi" w:eastAsia="MS Mincho" w:hAnsiTheme="majorHAnsi" w:cs="MyriadPro-Black"/>
          <w:caps/>
          <w:color w:val="000000"/>
          <w:sz w:val="40"/>
          <w:szCs w:val="60"/>
          <w:lang w:eastAsia="ja-JP"/>
        </w:rPr>
        <w:t>INTEGROVANÝ REGIONÁLNÍ OPERAČNÍ PROGRAM</w:t>
      </w:r>
    </w:p>
    <w:p w14:paraId="5D57328E" w14:textId="77777777" w:rsidR="005C5236" w:rsidRPr="00D00EAF" w:rsidRDefault="005C5236" w:rsidP="005C5236">
      <w:pPr>
        <w:spacing w:after="200" w:line="276" w:lineRule="auto"/>
        <w:rPr>
          <w:rFonts w:ascii="Arial" w:eastAsiaTheme="minorEastAsia" w:hAnsi="Arial" w:cs="Arial"/>
          <w:b/>
          <w:sz w:val="40"/>
          <w:szCs w:val="40"/>
        </w:rPr>
      </w:pPr>
    </w:p>
    <w:p w14:paraId="753B559D" w14:textId="77777777" w:rsidR="005C5236" w:rsidRPr="00D00EAF" w:rsidRDefault="005C5236" w:rsidP="005C5236">
      <w:pPr>
        <w:spacing w:after="200" w:line="276" w:lineRule="auto"/>
        <w:rPr>
          <w:rFonts w:ascii="Arial" w:eastAsiaTheme="minorEastAsia" w:hAnsi="Arial" w:cs="Arial"/>
          <w:b/>
          <w:sz w:val="40"/>
          <w:szCs w:val="40"/>
        </w:rPr>
      </w:pPr>
    </w:p>
    <w:p w14:paraId="005054AF"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SPECIFICKÁ PRAVIDLA</w:t>
      </w:r>
    </w:p>
    <w:p w14:paraId="24CD7FBD"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PRO ŽADATELE A PŘÍJEMCE </w:t>
      </w:r>
      <w:r w:rsidR="00EA55D6">
        <w:rPr>
          <w:rFonts w:asciiTheme="majorHAnsi" w:hAnsiTheme="majorHAnsi" w:cs="MyriadPro-Black"/>
          <w:caps/>
          <w:sz w:val="60"/>
          <w:szCs w:val="60"/>
        </w:rPr>
        <w:t>pro INTEGROVANé PROJEKTy clld</w:t>
      </w:r>
    </w:p>
    <w:p w14:paraId="7AAA380B" w14:textId="77777777" w:rsidR="00B95143" w:rsidRDefault="00B95143" w:rsidP="00B95143">
      <w:pPr>
        <w:spacing w:after="200" w:line="276" w:lineRule="auto"/>
        <w:rPr>
          <w:rFonts w:asciiTheme="majorHAnsi" w:hAnsiTheme="majorHAnsi" w:cs="MyriadPro-Black"/>
          <w:caps/>
          <w:color w:val="A6A6A6"/>
          <w:sz w:val="40"/>
          <w:szCs w:val="40"/>
        </w:rPr>
      </w:pPr>
    </w:p>
    <w:p w14:paraId="6F350A09" w14:textId="77777777" w:rsidR="00B95143" w:rsidRDefault="00B95143" w:rsidP="00B9514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EA55D6">
        <w:rPr>
          <w:rFonts w:asciiTheme="majorHAnsi" w:hAnsiTheme="majorHAnsi" w:cs="MyriadPro-Black"/>
          <w:caps/>
          <w:color w:val="A6A6A6"/>
          <w:sz w:val="40"/>
          <w:szCs w:val="40"/>
        </w:rPr>
        <w:t>4.1</w:t>
      </w:r>
    </w:p>
    <w:p w14:paraId="60CEE7D7" w14:textId="77777777" w:rsidR="00B95143" w:rsidRDefault="005A68C9" w:rsidP="00B95143">
      <w:pPr>
        <w:spacing w:after="200" w:line="276" w:lineRule="auto"/>
        <w:rPr>
          <w:rFonts w:ascii="Arial" w:hAnsi="Arial" w:cs="Arial"/>
          <w:b/>
          <w:sz w:val="40"/>
          <w:szCs w:val="40"/>
        </w:rPr>
      </w:pPr>
      <w:r>
        <w:rPr>
          <w:rFonts w:asciiTheme="majorHAnsi" w:hAnsiTheme="majorHAnsi" w:cs="MyriadPro-Black"/>
          <w:caps/>
          <w:color w:val="A6A6A6"/>
          <w:sz w:val="40"/>
          <w:szCs w:val="40"/>
        </w:rPr>
        <w:t>PRŮBĚŽN</w:t>
      </w:r>
      <w:r w:rsidR="003B0602">
        <w:rPr>
          <w:rFonts w:asciiTheme="majorHAnsi" w:hAnsiTheme="majorHAnsi" w:cs="MyriadPro-Black"/>
          <w:caps/>
          <w:color w:val="A6A6A6"/>
          <w:sz w:val="40"/>
          <w:szCs w:val="40"/>
        </w:rPr>
        <w:t>á</w:t>
      </w:r>
      <w:r w:rsidR="00B95143">
        <w:rPr>
          <w:rFonts w:asciiTheme="majorHAnsi" w:hAnsiTheme="majorHAnsi" w:cs="MyriadPro-Black"/>
          <w:caps/>
          <w:color w:val="A6A6A6"/>
          <w:sz w:val="40"/>
          <w:szCs w:val="40"/>
        </w:rPr>
        <w:t xml:space="preserve"> výzva č. </w:t>
      </w:r>
      <w:r w:rsidR="00E458FC">
        <w:rPr>
          <w:rFonts w:asciiTheme="majorHAnsi" w:hAnsiTheme="majorHAnsi" w:cs="MyriadPro-Black"/>
          <w:caps/>
          <w:color w:val="A6A6A6"/>
          <w:sz w:val="40"/>
          <w:szCs w:val="40"/>
        </w:rPr>
        <w:t>69</w:t>
      </w:r>
    </w:p>
    <w:p w14:paraId="7CA10495" w14:textId="77777777" w:rsidR="00B95143" w:rsidRDefault="00B95143" w:rsidP="00B95143">
      <w:pPr>
        <w:pStyle w:val="Zkladnodstavec"/>
        <w:rPr>
          <w:rFonts w:asciiTheme="majorHAnsi" w:hAnsiTheme="majorHAnsi" w:cs="MyriadPro-Black"/>
          <w:caps/>
          <w:sz w:val="40"/>
          <w:szCs w:val="40"/>
        </w:rPr>
      </w:pPr>
    </w:p>
    <w:p w14:paraId="4839D465" w14:textId="77777777" w:rsidR="00B95143" w:rsidRDefault="00B95143" w:rsidP="00B9514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5A68C9">
        <w:rPr>
          <w:rFonts w:asciiTheme="majorHAnsi" w:hAnsiTheme="majorHAnsi" w:cs="MyriadPro-Black"/>
          <w:caps/>
          <w:sz w:val="40"/>
          <w:szCs w:val="40"/>
        </w:rPr>
        <w:t>2</w:t>
      </w:r>
      <w:r w:rsidR="0038599A">
        <w:rPr>
          <w:rFonts w:asciiTheme="majorHAnsi" w:hAnsiTheme="majorHAnsi" w:cs="MyriadPro-Black"/>
          <w:caps/>
          <w:sz w:val="40"/>
          <w:szCs w:val="40"/>
        </w:rPr>
        <w:t>H</w:t>
      </w:r>
    </w:p>
    <w:p w14:paraId="6D9601BA" w14:textId="77777777" w:rsidR="005C5236" w:rsidRPr="00DD1F37" w:rsidRDefault="005C5236" w:rsidP="005C5236">
      <w:pPr>
        <w:widowControl w:val="0"/>
        <w:autoSpaceDE w:val="0"/>
        <w:autoSpaceDN w:val="0"/>
        <w:adjustRightInd w:val="0"/>
        <w:spacing w:line="288" w:lineRule="auto"/>
        <w:textAlignment w:val="center"/>
        <w:rPr>
          <w:rFonts w:asciiTheme="majorHAnsi" w:eastAsia="MS Mincho" w:hAnsiTheme="majorHAnsi" w:cs="MyriadPro-Black"/>
          <w:b/>
          <w:caps/>
          <w:color w:val="000000"/>
          <w:sz w:val="40"/>
          <w:szCs w:val="40"/>
          <w:lang w:eastAsia="ja-JP"/>
        </w:rPr>
      </w:pPr>
    </w:p>
    <w:p w14:paraId="2ECD3103" w14:textId="77777777" w:rsidR="005C5236" w:rsidRDefault="005C5236" w:rsidP="005C5236">
      <w:pPr>
        <w:spacing w:after="200" w:line="276" w:lineRule="auto"/>
        <w:rPr>
          <w:rFonts w:asciiTheme="majorHAnsi" w:eastAsia="MS Mincho" w:hAnsiTheme="majorHAnsi" w:cs="MyriadPro-Black"/>
          <w:b/>
          <w:caps/>
          <w:color w:val="000000"/>
          <w:sz w:val="46"/>
          <w:szCs w:val="40"/>
          <w:lang w:eastAsia="ja-JP"/>
        </w:rPr>
      </w:pPr>
      <w:r>
        <w:rPr>
          <w:rFonts w:asciiTheme="majorHAnsi" w:eastAsia="MS Mincho" w:hAnsiTheme="majorHAnsi" w:cs="MyriadPro-Black"/>
          <w:b/>
          <w:caps/>
          <w:color w:val="000000"/>
          <w:sz w:val="46"/>
          <w:szCs w:val="40"/>
          <w:lang w:eastAsia="ja-JP"/>
        </w:rPr>
        <w:t>krácení penežních prostředků při porušení podmínek dopisu ministerstva pro místní rozvoj</w:t>
      </w:r>
      <w:r w:rsidR="00DD1F37">
        <w:rPr>
          <w:rFonts w:asciiTheme="majorHAnsi" w:eastAsia="MS Mincho" w:hAnsiTheme="majorHAnsi" w:cs="MyriadPro-Black"/>
          <w:b/>
          <w:caps/>
          <w:color w:val="000000"/>
          <w:sz w:val="46"/>
          <w:szCs w:val="40"/>
          <w:lang w:eastAsia="ja-JP"/>
        </w:rPr>
        <w:t xml:space="preserve"> - </w:t>
      </w:r>
      <w:r w:rsidR="00DD1F37" w:rsidRPr="003808EC">
        <w:rPr>
          <w:rFonts w:asciiTheme="majorHAnsi" w:hAnsiTheme="majorHAnsi" w:cs="MyriadPro-Black"/>
          <w:sz w:val="46"/>
          <w:szCs w:val="40"/>
        </w:rPr>
        <w:t>pro aktivitu</w:t>
      </w:r>
      <w:r w:rsidR="00DD1F37">
        <w:rPr>
          <w:rFonts w:asciiTheme="majorHAnsi" w:hAnsiTheme="majorHAnsi" w:cs="MyriadPro-Black"/>
          <w:sz w:val="46"/>
          <w:szCs w:val="40"/>
        </w:rPr>
        <w:t xml:space="preserve"> </w:t>
      </w:r>
      <w:r w:rsidR="00B067E2" w:rsidRPr="00B067E2">
        <w:rPr>
          <w:rFonts w:asciiTheme="majorHAnsi" w:hAnsiTheme="majorHAnsi" w:cs="MyriadPro-Black"/>
          <w:sz w:val="46"/>
          <w:szCs w:val="40"/>
        </w:rPr>
        <w:t>Technika pro integrovaný záchranný systém</w:t>
      </w:r>
    </w:p>
    <w:p w14:paraId="10DDFE0F" w14:textId="77777777" w:rsidR="00DD1F37" w:rsidRDefault="00DD1F37" w:rsidP="005C5236">
      <w:pPr>
        <w:widowControl w:val="0"/>
        <w:autoSpaceDE w:val="0"/>
        <w:autoSpaceDN w:val="0"/>
        <w:adjustRightInd w:val="0"/>
        <w:spacing w:line="288" w:lineRule="auto"/>
        <w:textAlignment w:val="center"/>
        <w:rPr>
          <w:rFonts w:asciiTheme="majorHAnsi" w:eastAsia="MS Mincho" w:hAnsiTheme="majorHAnsi" w:cs="MyriadPro-Black"/>
          <w:caps/>
          <w:color w:val="000000"/>
          <w:sz w:val="32"/>
          <w:szCs w:val="40"/>
          <w:lang w:eastAsia="ja-JP"/>
        </w:rPr>
      </w:pPr>
    </w:p>
    <w:p w14:paraId="2F68413E" w14:textId="77777777" w:rsidR="005A5E30" w:rsidRDefault="005A5E30" w:rsidP="005C5236">
      <w:pPr>
        <w:widowControl w:val="0"/>
        <w:autoSpaceDE w:val="0"/>
        <w:autoSpaceDN w:val="0"/>
        <w:adjustRightInd w:val="0"/>
        <w:spacing w:line="288" w:lineRule="auto"/>
        <w:textAlignment w:val="center"/>
        <w:rPr>
          <w:rFonts w:asciiTheme="majorHAnsi" w:eastAsia="MS Mincho" w:hAnsiTheme="majorHAnsi" w:cs="MyriadPro-Black"/>
          <w:caps/>
          <w:color w:val="000000"/>
          <w:sz w:val="32"/>
          <w:szCs w:val="40"/>
          <w:lang w:eastAsia="ja-JP"/>
        </w:rPr>
      </w:pPr>
      <w:bookmarkStart w:id="5" w:name="_GoBack"/>
      <w:bookmarkEnd w:id="5"/>
    </w:p>
    <w:p w14:paraId="4D9BBF6A" w14:textId="66EBE2E6" w:rsidR="005C5236" w:rsidRPr="00D00EAF" w:rsidRDefault="005C5236" w:rsidP="005C5236">
      <w:pPr>
        <w:widowControl w:val="0"/>
        <w:autoSpaceDE w:val="0"/>
        <w:autoSpaceDN w:val="0"/>
        <w:adjustRightInd w:val="0"/>
        <w:spacing w:line="288" w:lineRule="auto"/>
        <w:textAlignment w:val="center"/>
        <w:rPr>
          <w:rFonts w:asciiTheme="majorHAnsi" w:eastAsia="MS Mincho" w:hAnsiTheme="majorHAnsi" w:cs="MyriadPro-Black"/>
          <w:caps/>
          <w:color w:val="000000"/>
          <w:sz w:val="32"/>
          <w:szCs w:val="40"/>
          <w:lang w:eastAsia="ja-JP"/>
        </w:rPr>
      </w:pPr>
      <w:r w:rsidRPr="00CF58A4">
        <w:rPr>
          <w:rFonts w:asciiTheme="majorHAnsi" w:eastAsia="MS Mincho" w:hAnsiTheme="majorHAnsi" w:cs="MyriadPro-Black"/>
          <w:caps/>
          <w:color w:val="000000"/>
          <w:sz w:val="32"/>
          <w:szCs w:val="40"/>
          <w:lang w:eastAsia="ja-JP"/>
        </w:rPr>
        <w:t xml:space="preserve">pLATNOST OD </w:t>
      </w:r>
      <w:r w:rsidR="00472BEE">
        <w:rPr>
          <w:rFonts w:asciiTheme="majorHAnsi" w:eastAsia="MS Mincho" w:hAnsiTheme="majorHAnsi" w:cs="MyriadPro-Black"/>
          <w:caps/>
          <w:color w:val="000000"/>
          <w:sz w:val="32"/>
          <w:szCs w:val="40"/>
          <w:lang w:eastAsia="ja-JP"/>
        </w:rPr>
        <w:t>2</w:t>
      </w:r>
      <w:r w:rsidR="00CF58A4" w:rsidRPr="00CF58A4">
        <w:rPr>
          <w:rFonts w:asciiTheme="majorHAnsi" w:eastAsia="MS Mincho" w:hAnsiTheme="majorHAnsi" w:cs="MyriadPro-Black"/>
          <w:caps/>
          <w:color w:val="000000"/>
          <w:sz w:val="32"/>
          <w:szCs w:val="40"/>
          <w:lang w:eastAsia="ja-JP"/>
        </w:rPr>
        <w:t>. 1</w:t>
      </w:r>
      <w:r w:rsidR="00472BEE">
        <w:rPr>
          <w:rFonts w:asciiTheme="majorHAnsi" w:eastAsia="MS Mincho" w:hAnsiTheme="majorHAnsi" w:cs="MyriadPro-Black"/>
          <w:caps/>
          <w:color w:val="000000"/>
          <w:sz w:val="32"/>
          <w:szCs w:val="40"/>
          <w:lang w:eastAsia="ja-JP"/>
        </w:rPr>
        <w:t>1</w:t>
      </w:r>
      <w:r w:rsidR="00CF58A4" w:rsidRPr="00CF58A4">
        <w:rPr>
          <w:rFonts w:asciiTheme="majorHAnsi" w:eastAsia="MS Mincho" w:hAnsiTheme="majorHAnsi" w:cs="MyriadPro-Black"/>
          <w:caps/>
          <w:color w:val="000000"/>
          <w:sz w:val="32"/>
          <w:szCs w:val="40"/>
          <w:lang w:eastAsia="ja-JP"/>
        </w:rPr>
        <w:t xml:space="preserve">. </w:t>
      </w:r>
      <w:r w:rsidR="00896340" w:rsidRPr="00CF58A4">
        <w:rPr>
          <w:rFonts w:asciiTheme="majorHAnsi" w:hAnsiTheme="majorHAnsi" w:cs="MyriadPro-Black"/>
          <w:caps/>
          <w:sz w:val="32"/>
          <w:szCs w:val="40"/>
        </w:rPr>
        <w:t>201</w:t>
      </w:r>
      <w:r w:rsidR="00D27E05">
        <w:rPr>
          <w:rFonts w:asciiTheme="majorHAnsi" w:hAnsiTheme="majorHAnsi" w:cs="MyriadPro-Black"/>
          <w:caps/>
          <w:sz w:val="32"/>
          <w:szCs w:val="40"/>
        </w:rPr>
        <w:t>8</w:t>
      </w:r>
    </w:p>
    <w:bookmarkEnd w:id="0"/>
    <w:bookmarkEnd w:id="1"/>
    <w:bookmarkEnd w:id="2"/>
    <w:bookmarkEnd w:id="3"/>
    <w:bookmarkEnd w:id="4"/>
    <w:p w14:paraId="6B0B21D1" w14:textId="77777777" w:rsidR="005460FC" w:rsidRDefault="005460FC" w:rsidP="005460FC">
      <w:pPr>
        <w:pStyle w:val="Prosttext"/>
        <w:jc w:val="both"/>
        <w:rPr>
          <w:rFonts w:asciiTheme="minorHAnsi" w:hAnsiTheme="minorHAnsi"/>
          <w:b/>
          <w:snapToGrid w:val="0"/>
          <w:sz w:val="24"/>
          <w:szCs w:val="24"/>
        </w:rPr>
      </w:pPr>
      <w:r>
        <w:rPr>
          <w:rFonts w:asciiTheme="minorHAnsi" w:hAnsiTheme="minorHAnsi"/>
          <w:b/>
          <w:snapToGrid w:val="0"/>
          <w:sz w:val="24"/>
          <w:szCs w:val="24"/>
        </w:rPr>
        <w:lastRenderedPageBreak/>
        <w:t xml:space="preserve">Tato příloha uvádí postup při porušení povinností příjemce vyplývajících z Podmínek Dopisu ministerstva pro místní rozvoj/Stanovení výdajů a stanovuje procentní rozmezí/pevný procentní podíl/pevnou částku odvodu pro výpočet výše krácení žádosti o platbu, resp. výše odvodu za porušení rozpočtové kázně. </w:t>
      </w:r>
    </w:p>
    <w:p w14:paraId="251D46BD" w14:textId="62A88F73" w:rsidR="005460FC" w:rsidRDefault="005460FC" w:rsidP="005460FC">
      <w:pPr>
        <w:pStyle w:val="Prosttext"/>
        <w:spacing w:before="240"/>
        <w:jc w:val="both"/>
        <w:rPr>
          <w:rFonts w:asciiTheme="minorHAnsi" w:hAnsiTheme="minorHAnsi"/>
          <w:snapToGrid w:val="0"/>
          <w:sz w:val="24"/>
          <w:szCs w:val="24"/>
        </w:rPr>
      </w:pPr>
      <w:r>
        <w:rPr>
          <w:rFonts w:asciiTheme="minorHAnsi" w:hAnsiTheme="minorHAnsi"/>
          <w:snapToGrid w:val="0"/>
          <w:sz w:val="24"/>
          <w:szCs w:val="24"/>
        </w:rPr>
        <w:t xml:space="preserve">Jestliže bude </w:t>
      </w:r>
      <w:r>
        <w:rPr>
          <w:rFonts w:asciiTheme="minorHAnsi" w:hAnsiTheme="minorHAnsi"/>
          <w:snapToGrid w:val="0"/>
          <w:sz w:val="24"/>
          <w:szCs w:val="24"/>
          <w:u w:val="single"/>
        </w:rPr>
        <w:t>při administraci žádosti o platbu před jejím zahrnutím do souhrnné žádosti o platbu</w:t>
      </w:r>
      <w:r>
        <w:rPr>
          <w:rFonts w:asciiTheme="minorHAnsi" w:hAnsiTheme="minorHAnsi"/>
          <w:snapToGrid w:val="0"/>
          <w:sz w:val="24"/>
          <w:szCs w:val="24"/>
        </w:rPr>
        <w:t xml:space="preserve"> zjištěno, že příjemce nesplnil některou z povinností uvedených v Podmínkách Dopisu ministerstva pro místní rozvoj/Stanovení výdajů, navrhne Centrum pro regionální rozvoj České republiky (dále jen „CRR“) krácení ve výši odvodu, dle ustanovení uvedených dále, z částky, která by byla schválena, pokud by se neuděloval odvod (tzn. z výdajů, které byly kontrolou posouzeny jako způsobilé). Odvodem se ponižuje schválená výše žádosti o platbu za danou etapu. </w:t>
      </w:r>
    </w:p>
    <w:p w14:paraId="6F2F8538" w14:textId="1B9C4F0B" w:rsidR="005460FC" w:rsidRDefault="005460FC" w:rsidP="005460FC">
      <w:pPr>
        <w:pStyle w:val="Prosttext"/>
        <w:spacing w:before="240"/>
        <w:jc w:val="both"/>
        <w:rPr>
          <w:rFonts w:asciiTheme="minorHAnsi" w:hAnsiTheme="minorHAnsi"/>
          <w:snapToGrid w:val="0"/>
          <w:sz w:val="24"/>
          <w:szCs w:val="24"/>
        </w:rPr>
      </w:pPr>
      <w:r>
        <w:rPr>
          <w:rFonts w:asciiTheme="minorHAnsi" w:hAnsiTheme="minorHAnsi"/>
          <w:snapToGrid w:val="0"/>
          <w:sz w:val="24"/>
          <w:szCs w:val="24"/>
        </w:rPr>
        <w:t xml:space="preserve">Jestliže bude </w:t>
      </w:r>
      <w:r>
        <w:rPr>
          <w:rFonts w:asciiTheme="minorHAnsi" w:hAnsiTheme="minorHAnsi"/>
          <w:snapToGrid w:val="0"/>
          <w:sz w:val="24"/>
          <w:szCs w:val="24"/>
          <w:u w:val="single"/>
        </w:rPr>
        <w:t xml:space="preserve">po schválení </w:t>
      </w:r>
      <w:r w:rsidR="00E84FA3">
        <w:rPr>
          <w:rFonts w:asciiTheme="minorHAnsi" w:hAnsiTheme="minorHAnsi"/>
          <w:snapToGrid w:val="0"/>
          <w:sz w:val="24"/>
          <w:szCs w:val="24"/>
          <w:u w:val="single"/>
        </w:rPr>
        <w:t>ž</w:t>
      </w:r>
      <w:r>
        <w:rPr>
          <w:rFonts w:asciiTheme="minorHAnsi" w:hAnsiTheme="minorHAnsi"/>
          <w:snapToGrid w:val="0"/>
          <w:sz w:val="24"/>
          <w:szCs w:val="24"/>
          <w:u w:val="single"/>
        </w:rPr>
        <w:t>ádosti o platbu a jejím zahrnutím do souhrnné žádosti o platbu</w:t>
      </w:r>
      <w:r>
        <w:rPr>
          <w:rFonts w:asciiTheme="minorHAnsi" w:hAnsiTheme="minorHAnsi"/>
          <w:snapToGrid w:val="0"/>
          <w:sz w:val="24"/>
          <w:szCs w:val="24"/>
        </w:rPr>
        <w:t xml:space="preserve"> zjištěno porušení nebo nesplnění povinností vyplývajících z Dopisu ministerstva pro místní rozvoj/Stanovení výdajů a Podmínek, poskytovatel peněžních prostředků vyzve příjemce k provedení opatření k nápravě nebo k vrácení převedených peněžních prostředků nebo jejich části ve výši stanovené podle bodu v části I uvedené dále. </w:t>
      </w:r>
      <w:r>
        <w:rPr>
          <w:rFonts w:asciiTheme="minorHAnsi" w:hAnsiTheme="minorHAnsi"/>
          <w:b/>
          <w:snapToGrid w:val="0"/>
          <w:sz w:val="24"/>
          <w:szCs w:val="24"/>
        </w:rPr>
        <w:t>Odvod za porušení Podmínek bude vypočten z  částky, která by byla schválena, pokud by se neuděloval odvod (tzn. z výdajů, které byly kontrolou posouzeny jako způsobilé)</w:t>
      </w:r>
      <w:r>
        <w:rPr>
          <w:rFonts w:asciiTheme="minorHAnsi" w:hAnsiTheme="minorHAnsi"/>
          <w:snapToGrid w:val="0"/>
          <w:sz w:val="24"/>
          <w:szCs w:val="24"/>
        </w:rPr>
        <w:t>.</w:t>
      </w:r>
      <w:r>
        <w:rPr>
          <w:sz w:val="24"/>
          <w:szCs w:val="24"/>
        </w:rPr>
        <w:t xml:space="preserve"> </w:t>
      </w:r>
      <w:r>
        <w:rPr>
          <w:rFonts w:asciiTheme="minorHAnsi" w:hAnsiTheme="minorHAnsi"/>
          <w:b/>
          <w:snapToGrid w:val="0"/>
          <w:sz w:val="24"/>
          <w:szCs w:val="24"/>
        </w:rPr>
        <w:t>Odvodem se ponižuje schválená výše žádosti o platbu za danou etapu</w:t>
      </w:r>
      <w:r>
        <w:rPr>
          <w:rFonts w:asciiTheme="minorHAnsi" w:hAnsiTheme="minorHAnsi"/>
          <w:snapToGrid w:val="0"/>
          <w:sz w:val="24"/>
          <w:szCs w:val="24"/>
        </w:rPr>
        <w:t>. Pokud příjemce peněžních prostředků neprovede uložená opatření k nápravě nebo nevrátí peněžní prostředky nebo jejich část ve stanovené lhůtě, bude to považováno za porušení rozpočtové kázně podle § 44 a násl. zákona č. 218/2000 Sb., o rozpočtových pravidlech, ve znění pozdějších předpisů.</w:t>
      </w:r>
    </w:p>
    <w:p w14:paraId="0D1696E7" w14:textId="77777777" w:rsidR="005460FC" w:rsidRDefault="005460FC" w:rsidP="005460FC">
      <w:pPr>
        <w:pStyle w:val="Nadpis3"/>
        <w:spacing w:before="240" w:after="120"/>
        <w:jc w:val="both"/>
        <w:rPr>
          <w:rFonts w:asciiTheme="minorHAnsi" w:hAnsiTheme="minorHAnsi"/>
          <w:i/>
          <w:snapToGrid/>
          <w:szCs w:val="24"/>
        </w:rPr>
      </w:pPr>
      <w:r>
        <w:rPr>
          <w:rFonts w:asciiTheme="minorHAnsi" w:hAnsiTheme="minorHAnsi"/>
          <w:szCs w:val="24"/>
        </w:rPr>
        <w:t>Při nesplnění více bodů Podmínek, se jednotlivé odvody sčítají. Krácení za nesplnění Podmínek však nemůže být vyšší než celková výše schválených peněžních prostředků k proplacení.</w:t>
      </w:r>
    </w:p>
    <w:p w14:paraId="36A7E294" w14:textId="77777777" w:rsidR="005460FC" w:rsidRDefault="005460FC" w:rsidP="005460FC">
      <w:pPr>
        <w:pStyle w:val="Nadpis3"/>
        <w:spacing w:after="120"/>
        <w:rPr>
          <w:rFonts w:asciiTheme="minorHAnsi" w:hAnsiTheme="minorHAnsi"/>
          <w:i/>
        </w:rPr>
      </w:pPr>
      <w:r>
        <w:rPr>
          <w:rFonts w:asciiTheme="minorHAnsi" w:hAnsiTheme="minorHAnsi"/>
          <w:i/>
        </w:rPr>
        <w:t>Část I</w:t>
      </w:r>
    </w:p>
    <w:p w14:paraId="61AC0641" w14:textId="77777777" w:rsidR="005460FC" w:rsidRDefault="005460FC" w:rsidP="005460FC">
      <w:pPr>
        <w:pStyle w:val="Nadpis3"/>
        <w:spacing w:after="120"/>
        <w:rPr>
          <w:rFonts w:asciiTheme="minorHAnsi" w:hAnsiTheme="minorHAnsi"/>
          <w:i/>
        </w:rPr>
      </w:pPr>
      <w:r>
        <w:rPr>
          <w:rFonts w:asciiTheme="minorHAnsi" w:hAnsiTheme="minorHAnsi"/>
          <w:i/>
        </w:rPr>
        <w:t>Podmínky, na které je poskytnutí peněžních prostředků vázáno</w:t>
      </w:r>
    </w:p>
    <w:p w14:paraId="1F78D830" w14:textId="77777777" w:rsidR="005460FC" w:rsidRDefault="005460FC" w:rsidP="005460FC">
      <w:pPr>
        <w:pStyle w:val="Odstavecseseznamem"/>
        <w:ind w:left="720"/>
      </w:pPr>
    </w:p>
    <w:tbl>
      <w:tblPr>
        <w:tblStyle w:val="Mkatabulky"/>
        <w:tblW w:w="0" w:type="auto"/>
        <w:tblLayout w:type="fixed"/>
        <w:tblLook w:val="04A0" w:firstRow="1" w:lastRow="0" w:firstColumn="1" w:lastColumn="0" w:noHBand="0" w:noVBand="1"/>
      </w:tblPr>
      <w:tblGrid>
        <w:gridCol w:w="817"/>
        <w:gridCol w:w="3827"/>
        <w:gridCol w:w="1843"/>
        <w:gridCol w:w="2471"/>
      </w:tblGrid>
      <w:tr w:rsidR="005460FC" w14:paraId="7C2A91C3" w14:textId="77777777" w:rsidTr="005460FC">
        <w:tc>
          <w:tcPr>
            <w:tcW w:w="817" w:type="dxa"/>
            <w:tcBorders>
              <w:top w:val="single" w:sz="4" w:space="0" w:color="auto"/>
              <w:left w:val="single" w:sz="4" w:space="0" w:color="auto"/>
              <w:bottom w:val="single" w:sz="4" w:space="0" w:color="auto"/>
              <w:right w:val="single" w:sz="4" w:space="0" w:color="auto"/>
            </w:tcBorders>
          </w:tcPr>
          <w:p w14:paraId="7A0A647A" w14:textId="77777777" w:rsidR="005460FC" w:rsidRDefault="005460FC">
            <w:pPr>
              <w:spacing w:after="120"/>
              <w:rPr>
                <w:b/>
              </w:rPr>
            </w:pPr>
          </w:p>
        </w:tc>
        <w:tc>
          <w:tcPr>
            <w:tcW w:w="3827" w:type="dxa"/>
            <w:tcBorders>
              <w:top w:val="single" w:sz="4" w:space="0" w:color="auto"/>
              <w:left w:val="single" w:sz="4" w:space="0" w:color="auto"/>
              <w:bottom w:val="single" w:sz="4" w:space="0" w:color="auto"/>
              <w:right w:val="single" w:sz="4" w:space="0" w:color="auto"/>
            </w:tcBorders>
            <w:hideMark/>
          </w:tcPr>
          <w:p w14:paraId="7BBDA19D" w14:textId="77777777" w:rsidR="005460FC" w:rsidRDefault="005460FC">
            <w:pPr>
              <w:spacing w:after="120"/>
              <w:rPr>
                <w:rFonts w:asciiTheme="minorHAnsi" w:hAnsiTheme="minorHAnsi"/>
                <w:b/>
                <w:sz w:val="22"/>
                <w:szCs w:val="22"/>
              </w:rPr>
            </w:pPr>
            <w:r>
              <w:rPr>
                <w:rFonts w:asciiTheme="minorHAnsi" w:hAnsiTheme="minorHAnsi"/>
                <w:b/>
                <w:sz w:val="22"/>
                <w:szCs w:val="22"/>
              </w:rPr>
              <w:t>Podmínka</w:t>
            </w:r>
          </w:p>
        </w:tc>
        <w:tc>
          <w:tcPr>
            <w:tcW w:w="1843" w:type="dxa"/>
            <w:tcBorders>
              <w:top w:val="single" w:sz="4" w:space="0" w:color="auto"/>
              <w:left w:val="single" w:sz="4" w:space="0" w:color="auto"/>
              <w:bottom w:val="single" w:sz="4" w:space="0" w:color="auto"/>
              <w:right w:val="single" w:sz="4" w:space="0" w:color="auto"/>
            </w:tcBorders>
            <w:hideMark/>
          </w:tcPr>
          <w:p w14:paraId="34EE09A2" w14:textId="77777777" w:rsidR="005460FC" w:rsidRDefault="005460FC">
            <w:pPr>
              <w:spacing w:after="120"/>
              <w:rPr>
                <w:rFonts w:asciiTheme="minorHAnsi" w:hAnsiTheme="minorHAnsi"/>
                <w:b/>
                <w:sz w:val="22"/>
                <w:szCs w:val="22"/>
              </w:rPr>
            </w:pPr>
            <w:r>
              <w:rPr>
                <w:rFonts w:asciiTheme="minorHAnsi" w:hAnsiTheme="minorHAnsi" w:cstheme="minorHAnsi"/>
                <w:b/>
                <w:sz w:val="22"/>
                <w:szCs w:val="22"/>
                <w:lang w:eastAsia="ar-SA"/>
              </w:rPr>
              <w:t>Opatření k nápravě</w:t>
            </w:r>
          </w:p>
        </w:tc>
        <w:tc>
          <w:tcPr>
            <w:tcW w:w="2471" w:type="dxa"/>
            <w:tcBorders>
              <w:top w:val="single" w:sz="4" w:space="0" w:color="auto"/>
              <w:left w:val="single" w:sz="4" w:space="0" w:color="auto"/>
              <w:bottom w:val="single" w:sz="4" w:space="0" w:color="auto"/>
              <w:right w:val="single" w:sz="4" w:space="0" w:color="auto"/>
            </w:tcBorders>
            <w:hideMark/>
          </w:tcPr>
          <w:p w14:paraId="2AF46099" w14:textId="77777777" w:rsidR="005460FC" w:rsidRDefault="005460FC">
            <w:pPr>
              <w:spacing w:after="120"/>
              <w:jc w:val="both"/>
              <w:rPr>
                <w:sz w:val="22"/>
                <w:szCs w:val="22"/>
              </w:rPr>
            </w:pPr>
            <w:r>
              <w:rPr>
                <w:rFonts w:asciiTheme="minorHAnsi" w:hAnsiTheme="minorHAnsi" w:cstheme="minorHAnsi"/>
                <w:b/>
                <w:sz w:val="22"/>
                <w:szCs w:val="22"/>
                <w:lang w:eastAsia="ar-SA"/>
              </w:rPr>
              <w:t>Sazba snížení Žádosti o platbu</w:t>
            </w:r>
          </w:p>
        </w:tc>
      </w:tr>
      <w:tr w:rsidR="005460FC" w14:paraId="230F0C3C" w14:textId="77777777" w:rsidTr="005460FC">
        <w:tc>
          <w:tcPr>
            <w:tcW w:w="817" w:type="dxa"/>
            <w:tcBorders>
              <w:top w:val="single" w:sz="4" w:space="0" w:color="auto"/>
              <w:left w:val="single" w:sz="4" w:space="0" w:color="auto"/>
              <w:bottom w:val="single" w:sz="4" w:space="0" w:color="auto"/>
              <w:right w:val="single" w:sz="4" w:space="0" w:color="auto"/>
            </w:tcBorders>
            <w:hideMark/>
          </w:tcPr>
          <w:p w14:paraId="0826F149" w14:textId="77777777" w:rsidR="005460FC" w:rsidRDefault="005460FC">
            <w:pPr>
              <w:spacing w:after="120"/>
              <w:jc w:val="both"/>
              <w:rPr>
                <w:rFonts w:asciiTheme="minorHAnsi" w:hAnsiTheme="minorHAnsi"/>
                <w:sz w:val="22"/>
                <w:szCs w:val="22"/>
              </w:rPr>
            </w:pPr>
            <w:r>
              <w:rPr>
                <w:rFonts w:asciiTheme="minorHAnsi" w:hAnsiTheme="minorHAnsi"/>
                <w:sz w:val="22"/>
                <w:szCs w:val="22"/>
              </w:rPr>
              <w:t>1.</w:t>
            </w:r>
          </w:p>
        </w:tc>
        <w:tc>
          <w:tcPr>
            <w:tcW w:w="3827" w:type="dxa"/>
            <w:tcBorders>
              <w:top w:val="single" w:sz="4" w:space="0" w:color="auto"/>
              <w:left w:val="single" w:sz="4" w:space="0" w:color="auto"/>
              <w:bottom w:val="single" w:sz="4" w:space="0" w:color="auto"/>
              <w:right w:val="single" w:sz="4" w:space="0" w:color="auto"/>
            </w:tcBorders>
            <w:hideMark/>
          </w:tcPr>
          <w:p w14:paraId="59033258"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 xml:space="preserve">Příjemce je povinen splnit účel, na který mu budou peněžní prostředky poskytnuty. </w:t>
            </w:r>
          </w:p>
        </w:tc>
        <w:tc>
          <w:tcPr>
            <w:tcW w:w="1843" w:type="dxa"/>
            <w:tcBorders>
              <w:top w:val="single" w:sz="4" w:space="0" w:color="auto"/>
              <w:left w:val="single" w:sz="4" w:space="0" w:color="auto"/>
              <w:bottom w:val="single" w:sz="4" w:space="0" w:color="auto"/>
              <w:right w:val="single" w:sz="4" w:space="0" w:color="auto"/>
            </w:tcBorders>
            <w:hideMark/>
          </w:tcPr>
          <w:p w14:paraId="6AAF35FA" w14:textId="77777777" w:rsidR="005460FC" w:rsidRDefault="005460FC">
            <w:pPr>
              <w:widowControl w:val="0"/>
              <w:spacing w:after="120"/>
              <w:jc w:val="both"/>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hideMark/>
          </w:tcPr>
          <w:p w14:paraId="5EB6BA1E" w14:textId="77777777" w:rsidR="005460FC" w:rsidRDefault="005460FC">
            <w:pPr>
              <w:spacing w:after="120"/>
              <w:jc w:val="both"/>
              <w:rPr>
                <w:rFonts w:asciiTheme="minorHAnsi" w:hAnsiTheme="minorHAnsi"/>
                <w:sz w:val="22"/>
                <w:szCs w:val="22"/>
              </w:rPr>
            </w:pPr>
            <w:r>
              <w:rPr>
                <w:rFonts w:asciiTheme="minorHAnsi" w:hAnsiTheme="minorHAnsi"/>
                <w:snapToGrid w:val="0"/>
                <w:sz w:val="22"/>
                <w:szCs w:val="22"/>
              </w:rPr>
              <w:t xml:space="preserve">Před zahrnutím do souhrnné žádosti nedojde k vyplacení peněžních prostředků a v případě zahrnutí peněžních prostředků do souhrnné žádosti bude nutné jejich navrácení </w:t>
            </w:r>
          </w:p>
        </w:tc>
      </w:tr>
      <w:tr w:rsidR="005460FC" w14:paraId="306E09BF" w14:textId="77777777" w:rsidTr="005460FC">
        <w:tc>
          <w:tcPr>
            <w:tcW w:w="817" w:type="dxa"/>
            <w:tcBorders>
              <w:top w:val="single" w:sz="4" w:space="0" w:color="auto"/>
              <w:left w:val="single" w:sz="4" w:space="0" w:color="auto"/>
              <w:bottom w:val="single" w:sz="4" w:space="0" w:color="auto"/>
              <w:right w:val="single" w:sz="4" w:space="0" w:color="auto"/>
            </w:tcBorders>
            <w:hideMark/>
          </w:tcPr>
          <w:p w14:paraId="13550C87" w14:textId="77777777" w:rsidR="005460FC" w:rsidRDefault="005460FC">
            <w:pPr>
              <w:spacing w:after="120"/>
              <w:jc w:val="both"/>
              <w:rPr>
                <w:rFonts w:asciiTheme="minorHAnsi" w:hAnsiTheme="minorHAnsi"/>
                <w:sz w:val="22"/>
                <w:szCs w:val="22"/>
              </w:rPr>
            </w:pPr>
            <w:r>
              <w:rPr>
                <w:rFonts w:asciiTheme="minorHAnsi" w:hAnsiTheme="minorHAnsi"/>
                <w:sz w:val="22"/>
                <w:szCs w:val="22"/>
              </w:rPr>
              <w:t>2.</w:t>
            </w:r>
          </w:p>
        </w:tc>
        <w:tc>
          <w:tcPr>
            <w:tcW w:w="3827" w:type="dxa"/>
            <w:tcBorders>
              <w:top w:val="single" w:sz="4" w:space="0" w:color="auto"/>
              <w:left w:val="single" w:sz="4" w:space="0" w:color="auto"/>
              <w:bottom w:val="single" w:sz="4" w:space="0" w:color="auto"/>
              <w:right w:val="single" w:sz="4" w:space="0" w:color="auto"/>
            </w:tcBorders>
            <w:hideMark/>
          </w:tcPr>
          <w:p w14:paraId="40CE4965" w14:textId="4CE925DD" w:rsidR="005460FC" w:rsidRDefault="005460FC">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Při realizaci projektu bude uskutečňováno zadávání zakázek v souladu se zákonem č. 137/2006 Sb., o veřejných zakázkách, ve znění </w:t>
            </w:r>
            <w:r>
              <w:rPr>
                <w:rFonts w:asciiTheme="minorHAnsi" w:hAnsiTheme="minorHAnsi" w:cstheme="minorHAnsi"/>
                <w:snapToGrid w:val="0"/>
                <w:sz w:val="22"/>
                <w:szCs w:val="22"/>
              </w:rPr>
              <w:lastRenderedPageBreak/>
              <w:t>pozdějších předpisů (do 30. 9. 2016; dále jen „ZVZ“), nebo zákonem č. 134/2016 Sb., o zadávání veřejných zakázek</w:t>
            </w:r>
            <w:r w:rsidR="00E84FA3">
              <w:rPr>
                <w:rFonts w:asciiTheme="minorHAnsi" w:hAnsiTheme="minorHAnsi" w:cstheme="minorHAnsi"/>
                <w:snapToGrid w:val="0"/>
                <w:sz w:val="22"/>
                <w:szCs w:val="22"/>
              </w:rPr>
              <w:t>, v platném znění</w:t>
            </w:r>
            <w:r>
              <w:rPr>
                <w:rFonts w:asciiTheme="minorHAnsi" w:hAnsiTheme="minorHAnsi" w:cstheme="minorHAnsi"/>
                <w:snapToGrid w:val="0"/>
                <w:sz w:val="22"/>
                <w:szCs w:val="22"/>
              </w:rPr>
              <w:t xml:space="preserve"> (od 1. 10. 2016; dále jen „ZZVZ“). </w:t>
            </w:r>
          </w:p>
          <w:p w14:paraId="44E283EE" w14:textId="77777777" w:rsidR="005460FC" w:rsidRDefault="005460FC">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 není povinen postupovat podle ZVZ nebo ZZVZ, postupuje v souladu s Metodickým pokynem pro oblast zadávání zakázek pro programové období 2014-2020 (dále jen „MPZ“), který je přílohou č. 3 Obecných pravidel pro žadatele a příjemce.</w:t>
            </w:r>
          </w:p>
        </w:tc>
        <w:tc>
          <w:tcPr>
            <w:tcW w:w="1843" w:type="dxa"/>
            <w:tcBorders>
              <w:top w:val="single" w:sz="4" w:space="0" w:color="auto"/>
              <w:left w:val="single" w:sz="4" w:space="0" w:color="auto"/>
              <w:bottom w:val="single" w:sz="4" w:space="0" w:color="auto"/>
              <w:right w:val="single" w:sz="4" w:space="0" w:color="auto"/>
            </w:tcBorders>
            <w:hideMark/>
          </w:tcPr>
          <w:p w14:paraId="40EC0BF1" w14:textId="77777777" w:rsidR="005460FC" w:rsidRDefault="005460FC">
            <w:pPr>
              <w:widowControl w:val="0"/>
              <w:spacing w:after="120"/>
              <w:jc w:val="both"/>
              <w:rPr>
                <w:rFonts w:cstheme="minorHAnsi"/>
                <w:snapToGrid w:val="0"/>
                <w:sz w:val="22"/>
                <w:szCs w:val="22"/>
              </w:rPr>
            </w:pPr>
            <w:r>
              <w:rPr>
                <w:rFonts w:asciiTheme="minorHAnsi" w:hAnsiTheme="minorHAnsi"/>
                <w:snapToGrid w:val="0"/>
                <w:sz w:val="22"/>
                <w:szCs w:val="22"/>
              </w:rPr>
              <w:lastRenderedPageBreak/>
              <w:t>Není možné.</w:t>
            </w:r>
          </w:p>
        </w:tc>
        <w:tc>
          <w:tcPr>
            <w:tcW w:w="2471" w:type="dxa"/>
            <w:tcBorders>
              <w:top w:val="single" w:sz="4" w:space="0" w:color="auto"/>
              <w:left w:val="single" w:sz="4" w:space="0" w:color="auto"/>
              <w:bottom w:val="single" w:sz="4" w:space="0" w:color="auto"/>
              <w:right w:val="single" w:sz="4" w:space="0" w:color="auto"/>
            </w:tcBorders>
            <w:hideMark/>
          </w:tcPr>
          <w:p w14:paraId="3A92E528"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19 části I těchto </w:t>
            </w:r>
            <w:r>
              <w:rPr>
                <w:rFonts w:asciiTheme="minorHAnsi" w:hAnsiTheme="minorHAnsi"/>
                <w:snapToGrid w:val="0"/>
                <w:sz w:val="22"/>
                <w:szCs w:val="22"/>
              </w:rPr>
              <w:lastRenderedPageBreak/>
              <w:t xml:space="preserve">Podmínek podle přílohy č. 5 </w:t>
            </w:r>
            <w:r>
              <w:rPr>
                <w:rFonts w:asciiTheme="minorHAnsi" w:hAnsiTheme="minorHAnsi"/>
                <w:i/>
                <w:snapToGrid w:val="0"/>
                <w:sz w:val="22"/>
                <w:szCs w:val="22"/>
              </w:rPr>
              <w:t>Finanční opravy za nedodržení postupu, stanoveného v ZVZ a v MPZ</w:t>
            </w:r>
            <w:r>
              <w:rPr>
                <w:rFonts w:asciiTheme="minorHAnsi" w:hAnsiTheme="minorHAnsi"/>
                <w:snapToGrid w:val="0"/>
                <w:sz w:val="22"/>
                <w:szCs w:val="22"/>
              </w:rPr>
              <w:t>, která je součástí Obecných pravidel pro žadatele a příjemce.</w:t>
            </w:r>
          </w:p>
        </w:tc>
      </w:tr>
      <w:tr w:rsidR="005460FC" w14:paraId="69ADB47C" w14:textId="77777777" w:rsidTr="005460FC">
        <w:trPr>
          <w:trHeight w:val="1124"/>
        </w:trPr>
        <w:tc>
          <w:tcPr>
            <w:tcW w:w="817" w:type="dxa"/>
            <w:tcBorders>
              <w:top w:val="single" w:sz="4" w:space="0" w:color="auto"/>
              <w:left w:val="single" w:sz="4" w:space="0" w:color="auto"/>
              <w:bottom w:val="single" w:sz="4" w:space="0" w:color="auto"/>
              <w:right w:val="single" w:sz="4" w:space="0" w:color="auto"/>
            </w:tcBorders>
            <w:hideMark/>
          </w:tcPr>
          <w:p w14:paraId="0878B28A" w14:textId="77777777" w:rsidR="005460FC" w:rsidRDefault="005460FC">
            <w:pPr>
              <w:spacing w:after="120"/>
              <w:jc w:val="both"/>
              <w:rPr>
                <w:rFonts w:asciiTheme="minorHAnsi" w:hAnsiTheme="minorHAnsi"/>
                <w:sz w:val="22"/>
                <w:szCs w:val="22"/>
              </w:rPr>
            </w:pPr>
            <w:r>
              <w:rPr>
                <w:rFonts w:asciiTheme="minorHAnsi" w:hAnsiTheme="minorHAnsi"/>
                <w:sz w:val="22"/>
                <w:szCs w:val="22"/>
              </w:rPr>
              <w:lastRenderedPageBreak/>
              <w:t xml:space="preserve"> 3.</w:t>
            </w:r>
          </w:p>
        </w:tc>
        <w:tc>
          <w:tcPr>
            <w:tcW w:w="3827" w:type="dxa"/>
            <w:tcBorders>
              <w:top w:val="single" w:sz="4" w:space="0" w:color="auto"/>
              <w:left w:val="single" w:sz="4" w:space="0" w:color="auto"/>
              <w:bottom w:val="single" w:sz="4" w:space="0" w:color="auto"/>
              <w:right w:val="single" w:sz="4" w:space="0" w:color="auto"/>
            </w:tcBorders>
            <w:hideMark/>
          </w:tcPr>
          <w:p w14:paraId="19661CEB"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zakázek, zadávaných podle ZVZ nebo ZZVZ, a v případě zakázek vyšší hodnoty, zadávaných podle MPZ, je příjemce povinen</w:t>
            </w:r>
            <w:r>
              <w:rPr>
                <w:rFonts w:asciiTheme="minorHAnsi" w:hAnsiTheme="minorHAnsi"/>
                <w:sz w:val="22"/>
                <w:szCs w:val="22"/>
              </w:rPr>
              <w:t xml:space="preserve"> předložit zadávací podmínky k posouzení a konzultaci CRR 10 pracovních dní před </w:t>
            </w:r>
            <w:r>
              <w:rPr>
                <w:rFonts w:asciiTheme="minorHAnsi" w:hAnsiTheme="minorHAnsi"/>
                <w:snapToGrid w:val="0"/>
                <w:sz w:val="22"/>
                <w:szCs w:val="22"/>
              </w:rPr>
              <w:t xml:space="preserve">plánovaným zahájením zadávacího nebo výběrového řízení. </w:t>
            </w:r>
          </w:p>
        </w:tc>
        <w:tc>
          <w:tcPr>
            <w:tcW w:w="1843" w:type="dxa"/>
            <w:tcBorders>
              <w:top w:val="single" w:sz="4" w:space="0" w:color="auto"/>
              <w:left w:val="single" w:sz="4" w:space="0" w:color="auto"/>
              <w:bottom w:val="single" w:sz="4" w:space="0" w:color="auto"/>
              <w:right w:val="single" w:sz="4" w:space="0" w:color="auto"/>
            </w:tcBorders>
            <w:hideMark/>
          </w:tcPr>
          <w:p w14:paraId="7D703377"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hideMark/>
          </w:tcPr>
          <w:p w14:paraId="5473631A"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procentního odvodu bude 0 - 0,3 % schválené částky k proplacení</w:t>
            </w:r>
            <w:r>
              <w:rPr>
                <w:rFonts w:asciiTheme="minorHAnsi" w:hAnsiTheme="minorHAnsi"/>
                <w:sz w:val="22"/>
                <w:szCs w:val="22"/>
              </w:rPr>
              <w:t xml:space="preserve"> na financování zakázek, vztahujících se k projektu</w:t>
            </w:r>
            <w:r>
              <w:rPr>
                <w:rFonts w:asciiTheme="minorHAnsi" w:hAnsiTheme="minorHAnsi"/>
                <w:snapToGrid w:val="0"/>
                <w:sz w:val="22"/>
                <w:szCs w:val="22"/>
              </w:rPr>
              <w:t>, u nichž nebyla splněna tato povinnost, maximálně však 10 000,- Kč.</w:t>
            </w:r>
          </w:p>
        </w:tc>
      </w:tr>
      <w:tr w:rsidR="005460FC" w14:paraId="6A130CE8" w14:textId="77777777" w:rsidTr="005460FC">
        <w:trPr>
          <w:trHeight w:val="1273"/>
        </w:trPr>
        <w:tc>
          <w:tcPr>
            <w:tcW w:w="817" w:type="dxa"/>
            <w:tcBorders>
              <w:top w:val="single" w:sz="4" w:space="0" w:color="auto"/>
              <w:left w:val="single" w:sz="4" w:space="0" w:color="auto"/>
              <w:bottom w:val="single" w:sz="4" w:space="0" w:color="auto"/>
              <w:right w:val="single" w:sz="4" w:space="0" w:color="auto"/>
            </w:tcBorders>
            <w:hideMark/>
          </w:tcPr>
          <w:p w14:paraId="47F1E34C" w14:textId="77777777" w:rsidR="005460FC" w:rsidRDefault="005460FC">
            <w:pPr>
              <w:spacing w:after="120"/>
              <w:jc w:val="both"/>
              <w:rPr>
                <w:rFonts w:asciiTheme="minorHAnsi" w:hAnsiTheme="minorHAnsi"/>
                <w:sz w:val="22"/>
                <w:szCs w:val="22"/>
              </w:rPr>
            </w:pPr>
            <w:r>
              <w:rPr>
                <w:rFonts w:asciiTheme="minorHAnsi" w:hAnsiTheme="minorHAnsi"/>
                <w:sz w:val="22"/>
                <w:szCs w:val="22"/>
              </w:rPr>
              <w:t>4.</w:t>
            </w:r>
          </w:p>
        </w:tc>
        <w:tc>
          <w:tcPr>
            <w:tcW w:w="3827" w:type="dxa"/>
            <w:tcBorders>
              <w:top w:val="single" w:sz="4" w:space="0" w:color="auto"/>
              <w:left w:val="single" w:sz="4" w:space="0" w:color="auto"/>
              <w:bottom w:val="single" w:sz="4" w:space="0" w:color="auto"/>
              <w:right w:val="single" w:sz="4" w:space="0" w:color="auto"/>
            </w:tcBorders>
            <w:hideMark/>
          </w:tcPr>
          <w:p w14:paraId="25A9A3D1"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Zadavatel je povinen předložit CRR ke kontrole dokumentaci k průběhu zadávacího řízení nebo výběrového řízení zakázky vyšší hodnoty před uzavřením smlouvy.</w:t>
            </w:r>
          </w:p>
        </w:tc>
        <w:tc>
          <w:tcPr>
            <w:tcW w:w="1843" w:type="dxa"/>
            <w:tcBorders>
              <w:top w:val="single" w:sz="4" w:space="0" w:color="auto"/>
              <w:left w:val="single" w:sz="4" w:space="0" w:color="auto"/>
              <w:bottom w:val="single" w:sz="4" w:space="0" w:color="auto"/>
              <w:right w:val="single" w:sz="4" w:space="0" w:color="auto"/>
            </w:tcBorders>
            <w:hideMark/>
          </w:tcPr>
          <w:p w14:paraId="77FE4E28"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hideMark/>
          </w:tcPr>
          <w:p w14:paraId="72094E70"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procentního odvodu bude 0 - 0,3 % schválené částky k proplacení</w:t>
            </w:r>
            <w:r>
              <w:rPr>
                <w:rFonts w:asciiTheme="minorHAnsi" w:hAnsiTheme="minorHAnsi"/>
                <w:sz w:val="22"/>
                <w:szCs w:val="22"/>
              </w:rPr>
              <w:t xml:space="preserve"> na financování zakázek, vztahujících se k projektu</w:t>
            </w:r>
            <w:r>
              <w:rPr>
                <w:rFonts w:asciiTheme="minorHAnsi" w:hAnsiTheme="minorHAnsi"/>
                <w:snapToGrid w:val="0"/>
                <w:sz w:val="22"/>
                <w:szCs w:val="22"/>
              </w:rPr>
              <w:t>, u nichž nebyla splněna tato povinnost, maximálně však 10 000,- Kč.</w:t>
            </w:r>
          </w:p>
        </w:tc>
      </w:tr>
      <w:tr w:rsidR="005460FC" w14:paraId="0205EFB1" w14:textId="77777777" w:rsidTr="005460FC">
        <w:trPr>
          <w:trHeight w:val="1368"/>
        </w:trPr>
        <w:tc>
          <w:tcPr>
            <w:tcW w:w="817" w:type="dxa"/>
            <w:vMerge w:val="restart"/>
            <w:tcBorders>
              <w:top w:val="single" w:sz="4" w:space="0" w:color="auto"/>
              <w:left w:val="single" w:sz="4" w:space="0" w:color="auto"/>
              <w:bottom w:val="single" w:sz="4" w:space="0" w:color="auto"/>
              <w:right w:val="single" w:sz="4" w:space="0" w:color="auto"/>
            </w:tcBorders>
            <w:hideMark/>
          </w:tcPr>
          <w:p w14:paraId="77E3019C" w14:textId="77777777" w:rsidR="005460FC" w:rsidRDefault="005460FC">
            <w:pPr>
              <w:spacing w:after="120"/>
              <w:jc w:val="both"/>
              <w:rPr>
                <w:rFonts w:asciiTheme="minorHAnsi" w:hAnsiTheme="minorHAnsi"/>
                <w:sz w:val="22"/>
                <w:szCs w:val="22"/>
              </w:rPr>
            </w:pPr>
            <w:r>
              <w:rPr>
                <w:rFonts w:asciiTheme="minorHAnsi" w:hAnsiTheme="minorHAnsi"/>
                <w:sz w:val="22"/>
                <w:szCs w:val="22"/>
              </w:rPr>
              <w:t>5.</w:t>
            </w:r>
          </w:p>
        </w:tc>
        <w:tc>
          <w:tcPr>
            <w:tcW w:w="3827" w:type="dxa"/>
            <w:tcBorders>
              <w:top w:val="single" w:sz="4" w:space="0" w:color="auto"/>
              <w:left w:val="single" w:sz="4" w:space="0" w:color="auto"/>
              <w:bottom w:val="single" w:sz="4" w:space="0" w:color="auto"/>
              <w:right w:val="single" w:sz="4" w:space="0" w:color="auto"/>
            </w:tcBorders>
            <w:hideMark/>
          </w:tcPr>
          <w:p w14:paraId="5AC1BC00"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Příjemce je povinen předkládat CRR pravdivé a úplné informace o průběhu realizace projektu prostřednictvím zpráv o realizaci projektu.</w:t>
            </w:r>
          </w:p>
        </w:tc>
        <w:tc>
          <w:tcPr>
            <w:tcW w:w="1843" w:type="dxa"/>
            <w:tcBorders>
              <w:top w:val="single" w:sz="4" w:space="0" w:color="auto"/>
              <w:left w:val="single" w:sz="4" w:space="0" w:color="auto"/>
              <w:bottom w:val="single" w:sz="4" w:space="0" w:color="auto"/>
              <w:right w:val="single" w:sz="4" w:space="0" w:color="auto"/>
            </w:tcBorders>
          </w:tcPr>
          <w:p w14:paraId="55562F6E" w14:textId="77777777" w:rsidR="005460FC" w:rsidRDefault="005460FC">
            <w:pPr>
              <w:widowControl w:val="0"/>
              <w:spacing w:after="120"/>
              <w:jc w:val="both"/>
              <w:rPr>
                <w:rFonts w:asciiTheme="minorHAnsi" w:hAnsiTheme="minorHAnsi"/>
                <w:snapToGrid w:val="0"/>
                <w:sz w:val="22"/>
                <w:szCs w:val="22"/>
              </w:rPr>
            </w:pPr>
          </w:p>
        </w:tc>
        <w:tc>
          <w:tcPr>
            <w:tcW w:w="2471" w:type="dxa"/>
            <w:tcBorders>
              <w:top w:val="single" w:sz="4" w:space="0" w:color="auto"/>
              <w:left w:val="single" w:sz="4" w:space="0" w:color="auto"/>
              <w:bottom w:val="single" w:sz="4" w:space="0" w:color="auto"/>
              <w:right w:val="single" w:sz="4" w:space="0" w:color="auto"/>
            </w:tcBorders>
          </w:tcPr>
          <w:p w14:paraId="66666A39" w14:textId="77777777" w:rsidR="005460FC" w:rsidRDefault="005460FC">
            <w:pPr>
              <w:widowControl w:val="0"/>
              <w:spacing w:after="120"/>
              <w:jc w:val="both"/>
              <w:rPr>
                <w:rFonts w:asciiTheme="minorHAnsi" w:hAnsiTheme="minorHAnsi"/>
                <w:snapToGrid w:val="0"/>
                <w:sz w:val="22"/>
                <w:szCs w:val="22"/>
              </w:rPr>
            </w:pPr>
          </w:p>
        </w:tc>
      </w:tr>
      <w:tr w:rsidR="005460FC" w14:paraId="5988E874" w14:textId="77777777" w:rsidTr="005460FC">
        <w:trPr>
          <w:trHeight w:val="1759"/>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38C90AC1" w14:textId="77777777" w:rsidR="005460FC" w:rsidRDefault="005460FC">
            <w:pPr>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13AE6376" w14:textId="77777777" w:rsidR="005460FC" w:rsidRDefault="005460FC" w:rsidP="005460FC">
            <w:pPr>
              <w:pStyle w:val="Odstavecseseznamem"/>
              <w:widowControl w:val="0"/>
              <w:numPr>
                <w:ilvl w:val="0"/>
                <w:numId w:val="37"/>
              </w:numPr>
              <w:spacing w:after="120"/>
              <w:jc w:val="both"/>
              <w:rPr>
                <w:rFonts w:asciiTheme="minorHAnsi" w:hAnsiTheme="minorHAnsi"/>
                <w:snapToGrid w:val="0"/>
                <w:sz w:val="22"/>
                <w:szCs w:val="22"/>
              </w:rPr>
            </w:pPr>
            <w:r>
              <w:rPr>
                <w:rFonts w:asciiTheme="minorHAnsi" w:hAnsiTheme="minorHAnsi"/>
                <w:b/>
                <w:snapToGrid w:val="0"/>
                <w:sz w:val="22"/>
                <w:szCs w:val="22"/>
              </w:rPr>
              <w:t>Průběžnou zprávu o realizaci projektu</w:t>
            </w:r>
            <w:r>
              <w:rPr>
                <w:rFonts w:asciiTheme="minorHAnsi" w:hAnsiTheme="minorHAnsi"/>
                <w:snapToGrid w:val="0"/>
                <w:sz w:val="22"/>
                <w:szCs w:val="22"/>
              </w:rPr>
              <w:t xml:space="preserve"> příjemce předkládá vždy do dvaceti pracovních dnů od ukončení etapy projektu.</w:t>
            </w:r>
          </w:p>
          <w:p w14:paraId="242A6C14" w14:textId="77777777" w:rsidR="005460FC" w:rsidRDefault="005460FC">
            <w:pPr>
              <w:pStyle w:val="Odstavecseseznamem"/>
              <w:widowControl w:val="0"/>
              <w:spacing w:after="120"/>
              <w:ind w:left="720"/>
              <w:jc w:val="both"/>
              <w:rPr>
                <w:rFonts w:asciiTheme="minorHAnsi" w:hAnsiTheme="minorHAnsi"/>
                <w:snapToGrid w:val="0"/>
                <w:sz w:val="22"/>
                <w:szCs w:val="22"/>
              </w:rPr>
            </w:pPr>
            <w:r>
              <w:rPr>
                <w:rFonts w:asciiTheme="minorHAnsi" w:hAnsiTheme="minorHAnsi"/>
                <w:snapToGrid w:val="0"/>
                <w:sz w:val="22"/>
                <w:szCs w:val="22"/>
              </w:rPr>
              <w:t>Příjemce vždy předkládá průběžnou zprávu o realizaci projektu společně se žádostí o platbu.</w:t>
            </w:r>
          </w:p>
          <w:p w14:paraId="0A80F650" w14:textId="77777777" w:rsidR="005460FC" w:rsidRDefault="005460FC">
            <w:pPr>
              <w:pStyle w:val="Odstavecseseznamem"/>
              <w:widowControl w:val="0"/>
              <w:spacing w:after="120"/>
              <w:ind w:left="720"/>
              <w:jc w:val="both"/>
              <w:rPr>
                <w:rFonts w:asciiTheme="minorHAnsi" w:hAnsiTheme="minorHAnsi"/>
                <w:snapToGrid w:val="0"/>
                <w:sz w:val="22"/>
                <w:szCs w:val="22"/>
              </w:rPr>
            </w:pPr>
            <w:r>
              <w:rPr>
                <w:rFonts w:asciiTheme="minorHAnsi" w:hAnsiTheme="minorHAnsi"/>
                <w:b/>
                <w:snapToGrid w:val="0"/>
                <w:sz w:val="22"/>
                <w:szCs w:val="22"/>
              </w:rPr>
              <w:lastRenderedPageBreak/>
              <w:t>Žádost o platbu</w:t>
            </w:r>
            <w:r>
              <w:rPr>
                <w:rFonts w:asciiTheme="minorHAnsi" w:hAnsiTheme="minorHAnsi"/>
                <w:snapToGrid w:val="0"/>
                <w:sz w:val="22"/>
                <w:szCs w:val="22"/>
              </w:rPr>
              <w:t xml:space="preserve"> je příjemce povinen předložit vždy nejpozději do dvaceti pracovních dnů od ukončení realizace projektu, resp. etapy projektu.</w:t>
            </w:r>
          </w:p>
          <w:p w14:paraId="107613A3" w14:textId="77777777" w:rsidR="005460FC" w:rsidRDefault="005460FC">
            <w:pPr>
              <w:pStyle w:val="Odstavecseseznamem"/>
              <w:widowControl w:val="0"/>
              <w:spacing w:after="120"/>
              <w:ind w:left="720"/>
              <w:jc w:val="both"/>
              <w:rPr>
                <w:rFonts w:asciiTheme="minorHAnsi" w:hAnsiTheme="minorHAnsi"/>
                <w:snapToGrid w:val="0"/>
                <w:sz w:val="22"/>
                <w:szCs w:val="22"/>
              </w:rPr>
            </w:pPr>
            <w:r>
              <w:rPr>
                <w:rFonts w:asciiTheme="minorHAnsi" w:hAnsiTheme="minorHAnsi"/>
                <w:snapToGrid w:val="0"/>
                <w:sz w:val="22"/>
                <w:szCs w:val="22"/>
              </w:rPr>
              <w:t>V případě, že je realizace etapy ukončena před schválením prvního Stanovení, je příjemce povinen předložit Zprávu o realizaci projektu a Žádost o platbu do dvaceti pracovních dnů od schválení prvního Stanovení.</w:t>
            </w:r>
          </w:p>
        </w:tc>
        <w:tc>
          <w:tcPr>
            <w:tcW w:w="1843" w:type="dxa"/>
            <w:tcBorders>
              <w:top w:val="single" w:sz="4" w:space="0" w:color="auto"/>
              <w:left w:val="single" w:sz="4" w:space="0" w:color="auto"/>
              <w:bottom w:val="single" w:sz="4" w:space="0" w:color="auto"/>
              <w:right w:val="single" w:sz="4" w:space="0" w:color="auto"/>
            </w:tcBorders>
            <w:hideMark/>
          </w:tcPr>
          <w:p w14:paraId="1CDC0D03" w14:textId="3DE51AB8" w:rsidR="005460FC" w:rsidRDefault="005460FC" w:rsidP="00E84FA3">
            <w:pPr>
              <w:widowControl w:val="0"/>
              <w:spacing w:after="120"/>
              <w:jc w:val="both"/>
              <w:rPr>
                <w:rFonts w:asciiTheme="minorHAnsi" w:hAnsiTheme="minorHAnsi"/>
                <w:snapToGrid w:val="0"/>
                <w:sz w:val="22"/>
                <w:szCs w:val="22"/>
              </w:rPr>
            </w:pPr>
            <w:r>
              <w:rPr>
                <w:rFonts w:asciiTheme="minorHAnsi" w:hAnsiTheme="minorHAnsi" w:cstheme="minorHAnsi"/>
                <w:sz w:val="22"/>
                <w:szCs w:val="22"/>
                <w:lang w:eastAsia="ar-SA"/>
              </w:rPr>
              <w:lastRenderedPageBreak/>
              <w:t>Vyzvání k nápravě v dodatečné lhůtě – podle odst. 1, §</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w:t>
            </w:r>
          </w:p>
        </w:tc>
        <w:tc>
          <w:tcPr>
            <w:tcW w:w="2471" w:type="dxa"/>
            <w:tcBorders>
              <w:top w:val="single" w:sz="4" w:space="0" w:color="auto"/>
              <w:left w:val="single" w:sz="4" w:space="0" w:color="auto"/>
              <w:bottom w:val="single" w:sz="4" w:space="0" w:color="auto"/>
              <w:right w:val="single" w:sz="4" w:space="0" w:color="auto"/>
            </w:tcBorders>
          </w:tcPr>
          <w:p w14:paraId="40EBF9CA" w14:textId="5BFF816A"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E84FA3">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218/2000 Sb., o</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rozpočtových pravidlech, </w:t>
            </w:r>
            <w:r>
              <w:rPr>
                <w:rFonts w:asciiTheme="minorHAnsi" w:hAnsiTheme="minorHAnsi"/>
                <w:snapToGrid w:val="0"/>
                <w:sz w:val="22"/>
                <w:szCs w:val="22"/>
              </w:rPr>
              <w:t xml:space="preserve">bude výše procentního odvodu 1 % </w:t>
            </w:r>
            <w:r>
              <w:rPr>
                <w:rFonts w:asciiTheme="minorHAnsi" w:hAnsiTheme="minorHAnsi"/>
                <w:snapToGrid w:val="0"/>
                <w:sz w:val="22"/>
                <w:szCs w:val="22"/>
              </w:rPr>
              <w:lastRenderedPageBreak/>
              <w:t>schválené částky k proplacení, maximálně však 10 000,- Kč.</w:t>
            </w:r>
          </w:p>
          <w:p w14:paraId="37DAA216" w14:textId="77777777" w:rsidR="005460FC" w:rsidRDefault="005460FC">
            <w:pPr>
              <w:widowControl w:val="0"/>
              <w:spacing w:after="120"/>
              <w:jc w:val="both"/>
              <w:rPr>
                <w:rFonts w:asciiTheme="minorHAnsi" w:hAnsiTheme="minorHAnsi"/>
                <w:snapToGrid w:val="0"/>
                <w:sz w:val="22"/>
                <w:szCs w:val="22"/>
              </w:rPr>
            </w:pPr>
          </w:p>
        </w:tc>
      </w:tr>
      <w:tr w:rsidR="005460FC" w14:paraId="284A935E" w14:textId="77777777" w:rsidTr="005460FC">
        <w:trPr>
          <w:trHeight w:val="1492"/>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744A8866" w14:textId="77777777" w:rsidR="005460FC" w:rsidRDefault="005460FC">
            <w:pPr>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6A5F9E39" w14:textId="77777777" w:rsidR="005460FC" w:rsidRDefault="005460FC" w:rsidP="005460FC">
            <w:pPr>
              <w:pStyle w:val="Odstavecseseznamem"/>
              <w:widowControl w:val="0"/>
              <w:numPr>
                <w:ilvl w:val="0"/>
                <w:numId w:val="37"/>
              </w:numPr>
              <w:spacing w:after="120"/>
              <w:jc w:val="both"/>
              <w:rPr>
                <w:rFonts w:asciiTheme="minorHAnsi" w:hAnsiTheme="minorHAnsi"/>
                <w:snapToGrid w:val="0"/>
                <w:sz w:val="22"/>
                <w:szCs w:val="22"/>
              </w:rPr>
            </w:pPr>
            <w:r>
              <w:rPr>
                <w:rFonts w:asciiTheme="minorHAnsi" w:hAnsiTheme="minorHAnsi"/>
                <w:b/>
                <w:snapToGrid w:val="0"/>
                <w:sz w:val="22"/>
                <w:szCs w:val="22"/>
              </w:rPr>
              <w:t>Závěrečnou zprávu o realizaci projektu</w:t>
            </w:r>
            <w:r>
              <w:rPr>
                <w:rFonts w:asciiTheme="minorHAnsi" w:hAnsiTheme="minorHAnsi"/>
                <w:snapToGrid w:val="0"/>
                <w:sz w:val="22"/>
                <w:szCs w:val="22"/>
              </w:rPr>
              <w:t xml:space="preserve"> příjemce předkládá vždy do dvaceti pracovních dnů od ukončení realizace projektu.</w:t>
            </w:r>
          </w:p>
          <w:p w14:paraId="7145E392" w14:textId="77777777" w:rsidR="005460FC" w:rsidRDefault="005460FC">
            <w:pPr>
              <w:pStyle w:val="Odstavecseseznamem"/>
              <w:widowControl w:val="0"/>
              <w:spacing w:after="120"/>
              <w:ind w:left="720"/>
              <w:jc w:val="both"/>
              <w:rPr>
                <w:rFonts w:asciiTheme="minorHAnsi" w:hAnsiTheme="minorHAnsi"/>
                <w:snapToGrid w:val="0"/>
                <w:sz w:val="22"/>
                <w:szCs w:val="22"/>
              </w:rPr>
            </w:pPr>
            <w:r>
              <w:rPr>
                <w:rFonts w:asciiTheme="minorHAnsi" w:hAnsiTheme="minorHAnsi"/>
                <w:snapToGrid w:val="0"/>
                <w:sz w:val="22"/>
                <w:szCs w:val="22"/>
              </w:rPr>
              <w:t>Příjemce vždy předkládá závěrečnou zprávu o realizaci projektu společně se žádostí o platbu.</w:t>
            </w:r>
          </w:p>
          <w:p w14:paraId="21384357" w14:textId="77777777" w:rsidR="005460FC" w:rsidRDefault="005460FC">
            <w:pPr>
              <w:pStyle w:val="Odstavecseseznamem"/>
              <w:widowControl w:val="0"/>
              <w:spacing w:after="120"/>
              <w:ind w:left="720"/>
              <w:jc w:val="both"/>
              <w:rPr>
                <w:rFonts w:asciiTheme="minorHAnsi" w:hAnsiTheme="minorHAnsi"/>
                <w:snapToGrid w:val="0"/>
                <w:sz w:val="22"/>
                <w:szCs w:val="22"/>
              </w:rPr>
            </w:pPr>
            <w:r>
              <w:rPr>
                <w:rFonts w:asciiTheme="minorHAnsi" w:hAnsiTheme="minorHAnsi"/>
                <w:b/>
                <w:snapToGrid w:val="0"/>
                <w:sz w:val="22"/>
                <w:szCs w:val="22"/>
              </w:rPr>
              <w:t>Žádost o platbu</w:t>
            </w:r>
            <w:r>
              <w:rPr>
                <w:rFonts w:asciiTheme="minorHAnsi" w:hAnsiTheme="minorHAnsi"/>
                <w:snapToGrid w:val="0"/>
                <w:sz w:val="22"/>
                <w:szCs w:val="22"/>
              </w:rPr>
              <w:t xml:space="preserve"> je příjemce povinen předložit vždy nejpozději do dvaceti pracovních dnů od ukončení realizace projektu, resp. etapy projektu. </w:t>
            </w:r>
          </w:p>
          <w:p w14:paraId="067C1848" w14:textId="77777777" w:rsidR="005460FC" w:rsidRDefault="005460FC">
            <w:pPr>
              <w:pStyle w:val="Odstavecseseznamem"/>
              <w:widowControl w:val="0"/>
              <w:spacing w:after="120"/>
              <w:ind w:left="720"/>
              <w:jc w:val="both"/>
              <w:rPr>
                <w:rFonts w:asciiTheme="minorHAnsi" w:hAnsiTheme="minorHAnsi"/>
                <w:snapToGrid w:val="0"/>
                <w:sz w:val="22"/>
                <w:szCs w:val="22"/>
              </w:rPr>
            </w:pPr>
            <w:r>
              <w:rPr>
                <w:rFonts w:asciiTheme="minorHAnsi" w:hAnsiTheme="minorHAnsi"/>
                <w:snapToGrid w:val="0"/>
                <w:sz w:val="22"/>
                <w:szCs w:val="22"/>
              </w:rPr>
              <w:t>V případě, že je realizace závěrečné etapy ukončena před schválením prvního Stanovení, je příjemce povinen předložit Závěrečnou zprávu o realizaci projektu a Žádost o platbu do dvaceti pracovních dnů od schválení prvního Stanovení.</w:t>
            </w:r>
          </w:p>
        </w:tc>
        <w:tc>
          <w:tcPr>
            <w:tcW w:w="1843" w:type="dxa"/>
            <w:tcBorders>
              <w:top w:val="single" w:sz="4" w:space="0" w:color="auto"/>
              <w:left w:val="single" w:sz="4" w:space="0" w:color="auto"/>
              <w:bottom w:val="single" w:sz="4" w:space="0" w:color="auto"/>
              <w:right w:val="single" w:sz="4" w:space="0" w:color="auto"/>
            </w:tcBorders>
            <w:hideMark/>
          </w:tcPr>
          <w:p w14:paraId="61BC340F" w14:textId="673D70A2" w:rsidR="005460FC" w:rsidRDefault="005460FC" w:rsidP="00E84FA3">
            <w:pPr>
              <w:widowControl w:val="0"/>
              <w:spacing w:after="120"/>
              <w:jc w:val="both"/>
              <w:rPr>
                <w:rFonts w:asciiTheme="minorHAnsi" w:hAnsiTheme="minorHAnsi"/>
                <w:snapToGrid w:val="0"/>
                <w:sz w:val="22"/>
                <w:szCs w:val="22"/>
              </w:rPr>
            </w:pPr>
            <w:r>
              <w:rPr>
                <w:rFonts w:asciiTheme="minorHAnsi" w:hAnsiTheme="minorHAnsi" w:cstheme="minorHAnsi"/>
                <w:sz w:val="22"/>
                <w:szCs w:val="22"/>
                <w:lang w:eastAsia="ar-SA"/>
              </w:rPr>
              <w:t>Vyzvání k nápravě v dodatečné lhůtě – podle odst. 1, §</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w:t>
            </w:r>
          </w:p>
        </w:tc>
        <w:tc>
          <w:tcPr>
            <w:tcW w:w="2471" w:type="dxa"/>
            <w:tcBorders>
              <w:top w:val="single" w:sz="4" w:space="0" w:color="auto"/>
              <w:left w:val="single" w:sz="4" w:space="0" w:color="auto"/>
              <w:bottom w:val="single" w:sz="4" w:space="0" w:color="auto"/>
              <w:right w:val="single" w:sz="4" w:space="0" w:color="auto"/>
            </w:tcBorders>
            <w:hideMark/>
          </w:tcPr>
          <w:p w14:paraId="0C25FC3E" w14:textId="0797F6EC" w:rsidR="005460FC" w:rsidRDefault="005460FC" w:rsidP="00E84FA3">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E84FA3">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218/2000 Sb., o</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rozpočtových pravidlech, </w:t>
            </w:r>
            <w:r>
              <w:rPr>
                <w:rFonts w:asciiTheme="minorHAnsi" w:hAnsiTheme="minorHAnsi"/>
                <w:snapToGrid w:val="0"/>
                <w:sz w:val="22"/>
                <w:szCs w:val="22"/>
              </w:rPr>
              <w:t>bude výše procentního odvodu 1 % schválené částky k proplacení, maximálně však 10 000,- Kč.</w:t>
            </w:r>
          </w:p>
        </w:tc>
      </w:tr>
      <w:tr w:rsidR="005460FC" w14:paraId="4F4DCEAA" w14:textId="77777777" w:rsidTr="005460FC">
        <w:trPr>
          <w:trHeight w:val="1492"/>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50044381" w14:textId="77777777" w:rsidR="005460FC" w:rsidRDefault="005460FC">
            <w:pPr>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4E9E9B35" w14:textId="77777777" w:rsidR="005460FC" w:rsidRDefault="005460FC" w:rsidP="005460FC">
            <w:pPr>
              <w:pStyle w:val="Odstavecseseznamem"/>
              <w:widowControl w:val="0"/>
              <w:numPr>
                <w:ilvl w:val="0"/>
                <w:numId w:val="37"/>
              </w:numPr>
              <w:spacing w:after="120"/>
              <w:jc w:val="both"/>
              <w:rPr>
                <w:rFonts w:asciiTheme="minorHAnsi" w:hAnsiTheme="minorHAnsi"/>
                <w:snapToGrid w:val="0"/>
                <w:sz w:val="22"/>
                <w:szCs w:val="22"/>
              </w:rPr>
            </w:pPr>
            <w:r>
              <w:rPr>
                <w:rFonts w:asciiTheme="minorHAnsi" w:hAnsiTheme="minorHAnsi"/>
                <w:b/>
                <w:snapToGrid w:val="0"/>
                <w:sz w:val="22"/>
                <w:szCs w:val="22"/>
              </w:rPr>
              <w:t>Zprávy o udržitelnosti projektu</w:t>
            </w:r>
            <w:r>
              <w:rPr>
                <w:rFonts w:asciiTheme="minorHAnsi" w:hAnsiTheme="minorHAnsi"/>
                <w:snapToGrid w:val="0"/>
                <w:sz w:val="22"/>
                <w:szCs w:val="22"/>
              </w:rPr>
              <w:t xml:space="preserve"> příjemce předkládá:</w:t>
            </w:r>
          </w:p>
          <w:p w14:paraId="35B516F2" w14:textId="77777777" w:rsidR="005460FC" w:rsidRDefault="005460FC" w:rsidP="005460FC">
            <w:pPr>
              <w:pStyle w:val="Odstavecseseznamem"/>
              <w:widowControl w:val="0"/>
              <w:numPr>
                <w:ilvl w:val="0"/>
                <w:numId w:val="38"/>
              </w:numPr>
              <w:spacing w:after="120"/>
              <w:jc w:val="both"/>
              <w:rPr>
                <w:rFonts w:asciiTheme="minorHAnsi" w:hAnsiTheme="minorHAnsi"/>
                <w:snapToGrid w:val="0"/>
                <w:sz w:val="22"/>
                <w:szCs w:val="22"/>
              </w:rPr>
            </w:pPr>
            <w:r>
              <w:rPr>
                <w:rFonts w:asciiTheme="minorHAnsi" w:hAnsiTheme="minorHAnsi"/>
                <w:snapToGrid w:val="0"/>
                <w:sz w:val="22"/>
                <w:szCs w:val="22"/>
                <w:u w:val="single"/>
              </w:rPr>
              <w:t>Průběžnou zprávu o udržitelnosti projektu:</w:t>
            </w:r>
            <w:r>
              <w:rPr>
                <w:rFonts w:asciiTheme="minorHAnsi" w:hAnsiTheme="minorHAnsi"/>
                <w:snapToGrid w:val="0"/>
                <w:sz w:val="22"/>
                <w:szCs w:val="22"/>
              </w:rPr>
              <w:t xml:space="preserve"> každoročně po dobu 5 let a to vždy do 10. pracovního dne po uplynutí dalšího roku od data zahájení doby </w:t>
            </w:r>
            <w:r>
              <w:rPr>
                <w:rFonts w:asciiTheme="minorHAnsi" w:hAnsiTheme="minorHAnsi"/>
                <w:snapToGrid w:val="0"/>
                <w:sz w:val="22"/>
                <w:szCs w:val="22"/>
              </w:rPr>
              <w:lastRenderedPageBreak/>
              <w:t xml:space="preserve">udržitelnosti. </w:t>
            </w:r>
          </w:p>
          <w:p w14:paraId="7F3E21D2" w14:textId="77777777" w:rsidR="005460FC" w:rsidRDefault="005460FC" w:rsidP="005460FC">
            <w:pPr>
              <w:pStyle w:val="Odstavecseseznamem"/>
              <w:widowControl w:val="0"/>
              <w:numPr>
                <w:ilvl w:val="0"/>
                <w:numId w:val="38"/>
              </w:numPr>
              <w:spacing w:after="120"/>
              <w:jc w:val="both"/>
              <w:rPr>
                <w:rFonts w:asciiTheme="minorHAnsi" w:hAnsiTheme="minorHAnsi"/>
                <w:snapToGrid w:val="0"/>
                <w:sz w:val="22"/>
                <w:szCs w:val="22"/>
              </w:rPr>
            </w:pPr>
            <w:r>
              <w:rPr>
                <w:rFonts w:asciiTheme="minorHAnsi" w:hAnsiTheme="minorHAnsi"/>
                <w:snapToGrid w:val="0"/>
                <w:sz w:val="22"/>
                <w:szCs w:val="22"/>
                <w:u w:val="single"/>
              </w:rPr>
              <w:t>Závěrečnou zprávu o udržitelnosti projektu:</w:t>
            </w:r>
            <w:r>
              <w:rPr>
                <w:rFonts w:asciiTheme="minorHAnsi" w:hAnsiTheme="minorHAnsi"/>
                <w:snapToGrid w:val="0"/>
                <w:sz w:val="22"/>
                <w:szCs w:val="22"/>
              </w:rPr>
              <w:t xml:space="preserve"> do 10. pracovního dne ode dne ukončení udržitelnosti projektu.</w:t>
            </w:r>
          </w:p>
        </w:tc>
        <w:tc>
          <w:tcPr>
            <w:tcW w:w="1843" w:type="dxa"/>
            <w:tcBorders>
              <w:top w:val="single" w:sz="4" w:space="0" w:color="auto"/>
              <w:left w:val="single" w:sz="4" w:space="0" w:color="auto"/>
              <w:bottom w:val="single" w:sz="4" w:space="0" w:color="auto"/>
              <w:right w:val="single" w:sz="4" w:space="0" w:color="auto"/>
            </w:tcBorders>
            <w:hideMark/>
          </w:tcPr>
          <w:p w14:paraId="0DA46250" w14:textId="1909B823" w:rsidR="005460FC" w:rsidRDefault="005460FC" w:rsidP="00E84FA3">
            <w:pPr>
              <w:widowControl w:val="0"/>
              <w:spacing w:after="120"/>
              <w:jc w:val="both"/>
              <w:rPr>
                <w:rFonts w:asciiTheme="minorHAnsi" w:hAnsiTheme="minorHAnsi"/>
                <w:snapToGrid w:val="0"/>
                <w:sz w:val="22"/>
                <w:szCs w:val="22"/>
              </w:rPr>
            </w:pPr>
            <w:r>
              <w:rPr>
                <w:rFonts w:asciiTheme="minorHAnsi" w:hAnsiTheme="minorHAnsi" w:cstheme="minorHAnsi"/>
                <w:sz w:val="22"/>
                <w:szCs w:val="22"/>
                <w:lang w:eastAsia="ar-SA"/>
              </w:rPr>
              <w:lastRenderedPageBreak/>
              <w:t>Vyzvání k nápravě v dodatečné lhůtě – podle odst. 1, §</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w:t>
            </w:r>
          </w:p>
        </w:tc>
        <w:tc>
          <w:tcPr>
            <w:tcW w:w="2471" w:type="dxa"/>
            <w:tcBorders>
              <w:top w:val="single" w:sz="4" w:space="0" w:color="auto"/>
              <w:left w:val="single" w:sz="4" w:space="0" w:color="auto"/>
              <w:bottom w:val="single" w:sz="4" w:space="0" w:color="auto"/>
              <w:right w:val="single" w:sz="4" w:space="0" w:color="auto"/>
            </w:tcBorders>
            <w:hideMark/>
          </w:tcPr>
          <w:p w14:paraId="765C55A0" w14:textId="51653680" w:rsidR="005460FC" w:rsidRDefault="005460FC" w:rsidP="00E84FA3">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E84FA3">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218/2000 Sb., o</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rozpočtových pravidlech, </w:t>
            </w:r>
            <w:r>
              <w:rPr>
                <w:rFonts w:asciiTheme="minorHAnsi" w:hAnsiTheme="minorHAnsi"/>
                <w:snapToGrid w:val="0"/>
                <w:sz w:val="22"/>
                <w:szCs w:val="22"/>
              </w:rPr>
              <w:t xml:space="preserve">bude výše procentního odvodu 1 % z celkové částky </w:t>
            </w:r>
            <w:r>
              <w:rPr>
                <w:rFonts w:asciiTheme="minorHAnsi" w:hAnsiTheme="minorHAnsi"/>
                <w:snapToGrid w:val="0"/>
                <w:sz w:val="22"/>
                <w:szCs w:val="22"/>
              </w:rPr>
              <w:lastRenderedPageBreak/>
              <w:t>vyplacených peněžních prostředků, maximálně však 5 000,- Kč.</w:t>
            </w:r>
          </w:p>
        </w:tc>
      </w:tr>
      <w:tr w:rsidR="005460FC" w14:paraId="41578A64" w14:textId="77777777" w:rsidTr="005460FC">
        <w:trPr>
          <w:trHeight w:val="3934"/>
        </w:trPr>
        <w:tc>
          <w:tcPr>
            <w:tcW w:w="817" w:type="dxa"/>
            <w:vMerge w:val="restart"/>
            <w:tcBorders>
              <w:top w:val="single" w:sz="4" w:space="0" w:color="auto"/>
              <w:left w:val="single" w:sz="4" w:space="0" w:color="auto"/>
              <w:bottom w:val="single" w:sz="4" w:space="0" w:color="auto"/>
              <w:right w:val="single" w:sz="4" w:space="0" w:color="auto"/>
            </w:tcBorders>
            <w:hideMark/>
          </w:tcPr>
          <w:p w14:paraId="76FE2D31" w14:textId="77777777" w:rsidR="005460FC" w:rsidRDefault="005460FC">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3827" w:type="dxa"/>
            <w:tcBorders>
              <w:top w:val="single" w:sz="4" w:space="0" w:color="auto"/>
              <w:left w:val="single" w:sz="4" w:space="0" w:color="auto"/>
              <w:bottom w:val="single" w:sz="4" w:space="0" w:color="auto"/>
              <w:right w:val="single" w:sz="4" w:space="0" w:color="auto"/>
            </w:tcBorders>
            <w:hideMark/>
          </w:tcPr>
          <w:p w14:paraId="10189E0D"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Příjemce je povinen neprodleně oznámit CRR všechny změny, které mají vliv na plnění Dopisu ministerstva pro místní rozvoj/ Stanovení výdajů prostřednictvím formuláře Žádost o změnu. </w:t>
            </w:r>
          </w:p>
          <w:p w14:paraId="1B7405E8"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4D135D10" w14:textId="77777777" w:rsidR="005460FC" w:rsidRDefault="005460FC" w:rsidP="005460FC">
            <w:pPr>
              <w:pStyle w:val="Odstavecseseznamem"/>
              <w:widowControl w:val="0"/>
              <w:numPr>
                <w:ilvl w:val="0"/>
                <w:numId w:val="3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7AE60919" w14:textId="77777777" w:rsidR="005460FC" w:rsidRDefault="005460FC" w:rsidP="005460FC">
            <w:pPr>
              <w:pStyle w:val="Odstavecseseznamem"/>
              <w:widowControl w:val="0"/>
              <w:numPr>
                <w:ilvl w:val="0"/>
                <w:numId w:val="3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65F7FF90" w14:textId="77777777" w:rsidR="005460FC" w:rsidRDefault="005460FC" w:rsidP="005460FC">
            <w:pPr>
              <w:pStyle w:val="Odstavecseseznamem"/>
              <w:widowControl w:val="0"/>
              <w:numPr>
                <w:ilvl w:val="0"/>
                <w:numId w:val="3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76141E56" w14:textId="77777777" w:rsidR="005460FC" w:rsidRDefault="005460FC" w:rsidP="005460FC">
            <w:pPr>
              <w:pStyle w:val="Odstavecseseznamem"/>
              <w:widowControl w:val="0"/>
              <w:numPr>
                <w:ilvl w:val="0"/>
                <w:numId w:val="3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7CDCC013" w14:textId="77777777" w:rsidR="005460FC" w:rsidRDefault="005460FC" w:rsidP="005460FC">
            <w:pPr>
              <w:pStyle w:val="Odstavecseseznamem"/>
              <w:widowControl w:val="0"/>
              <w:numPr>
                <w:ilvl w:val="0"/>
                <w:numId w:val="39"/>
              </w:numPr>
              <w:spacing w:after="120"/>
              <w:jc w:val="both"/>
              <w:rPr>
                <w:rFonts w:asciiTheme="minorHAnsi" w:hAnsiTheme="minorHAnsi"/>
                <w:snapToGrid w:val="0"/>
                <w:sz w:val="22"/>
                <w:szCs w:val="22"/>
              </w:rPr>
            </w:pPr>
            <w:r>
              <w:rPr>
                <w:rFonts w:asciiTheme="minorHAnsi" w:hAnsiTheme="minorHAnsi"/>
                <w:snapToGrid w:val="0"/>
                <w:sz w:val="22"/>
                <w:szCs w:val="22"/>
              </w:rPr>
              <w:t xml:space="preserve">změna aktivit projektu, které mají vliv na splnění účelu projektu či indikátoru, </w:t>
            </w:r>
          </w:p>
          <w:p w14:paraId="3BC19C67" w14:textId="77777777" w:rsidR="005460FC" w:rsidRDefault="005460FC" w:rsidP="005460FC">
            <w:pPr>
              <w:pStyle w:val="Odstavecseseznamem"/>
              <w:widowControl w:val="0"/>
              <w:numPr>
                <w:ilvl w:val="0"/>
                <w:numId w:val="39"/>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souvislosti s přesunem aktivit projektu,</w:t>
            </w:r>
          </w:p>
          <w:p w14:paraId="0D99ECDE" w14:textId="77777777" w:rsidR="005460FC" w:rsidRDefault="005460FC" w:rsidP="005460FC">
            <w:pPr>
              <w:pStyle w:val="Odstavecseseznamem"/>
              <w:widowControl w:val="0"/>
              <w:numPr>
                <w:ilvl w:val="0"/>
                <w:numId w:val="39"/>
              </w:numPr>
              <w:spacing w:after="120"/>
              <w:jc w:val="both"/>
              <w:rPr>
                <w:rFonts w:asciiTheme="minorHAnsi" w:hAnsiTheme="minorHAnsi"/>
                <w:snapToGrid w:val="0"/>
                <w:sz w:val="22"/>
                <w:szCs w:val="22"/>
              </w:rPr>
            </w:pPr>
            <w:r>
              <w:rPr>
                <w:rFonts w:asciiTheme="minorHAnsi" w:hAnsiTheme="minorHAnsi"/>
                <w:snapToGrid w:val="0"/>
                <w:sz w:val="22"/>
                <w:szCs w:val="22"/>
              </w:rPr>
              <w:t>změna plátcovství DPH ve vztahu k projektu, pouze v případě, kdy se stane příjemce peněžních prostředků plátcem DPH,</w:t>
            </w:r>
          </w:p>
          <w:p w14:paraId="6520C522" w14:textId="77777777" w:rsidR="005460FC" w:rsidRDefault="005460FC" w:rsidP="005460FC">
            <w:pPr>
              <w:pStyle w:val="Odstavecseseznamem"/>
              <w:widowControl w:val="0"/>
              <w:numPr>
                <w:ilvl w:val="0"/>
                <w:numId w:val="3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p w14:paraId="353783F1" w14:textId="77777777" w:rsidR="005460FC" w:rsidRDefault="005460FC">
            <w:pPr>
              <w:widowControl w:val="0"/>
              <w:spacing w:before="240"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843" w:type="dxa"/>
            <w:tcBorders>
              <w:top w:val="single" w:sz="4" w:space="0" w:color="auto"/>
              <w:left w:val="single" w:sz="4" w:space="0" w:color="auto"/>
              <w:bottom w:val="single" w:sz="4" w:space="0" w:color="auto"/>
              <w:right w:val="single" w:sz="4" w:space="0" w:color="auto"/>
            </w:tcBorders>
            <w:hideMark/>
          </w:tcPr>
          <w:p w14:paraId="2DCD7F2E"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tcPr>
          <w:p w14:paraId="3F94DE41"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Za pozdní odevzdání Žádosti o změnu bude výše procentního odvodu 0,2 % schválené částky k proplacení, maximálně však 10 000,- Kč.</w:t>
            </w:r>
          </w:p>
          <w:p w14:paraId="4D1F3596" w14:textId="77777777" w:rsidR="005460FC" w:rsidRDefault="005460FC">
            <w:pPr>
              <w:spacing w:after="120"/>
              <w:jc w:val="both"/>
            </w:pPr>
          </w:p>
        </w:tc>
      </w:tr>
      <w:tr w:rsidR="005460FC" w14:paraId="57F44750" w14:textId="77777777" w:rsidTr="005460FC">
        <w:trPr>
          <w:trHeight w:val="2394"/>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5665026E" w14:textId="77777777" w:rsidR="005460FC" w:rsidRDefault="005460FC">
            <w:pPr>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7C1B2992"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Termín ukončení realizace projektu:  </w:t>
            </w:r>
          </w:p>
          <w:p w14:paraId="3916D0A8"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Žádost o změnu s žádostí o prodloužení termínu ukončení realizace projektu (závěrečné etapy) je příjemce povinen podat před uplynutím termínu uvedeného na Dopise ministerstva pro místní rozvoj/Stanovení výdajů.</w:t>
            </w:r>
          </w:p>
        </w:tc>
        <w:tc>
          <w:tcPr>
            <w:tcW w:w="1843" w:type="dxa"/>
            <w:tcBorders>
              <w:top w:val="single" w:sz="4" w:space="0" w:color="auto"/>
              <w:left w:val="single" w:sz="4" w:space="0" w:color="auto"/>
              <w:bottom w:val="single" w:sz="4" w:space="0" w:color="auto"/>
              <w:right w:val="single" w:sz="4" w:space="0" w:color="auto"/>
            </w:tcBorders>
            <w:hideMark/>
          </w:tcPr>
          <w:p w14:paraId="3B4F985F"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hideMark/>
          </w:tcPr>
          <w:p w14:paraId="77953818"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Za pozdní odevzdání Žádosti o změnu po termínu stanoveném na Dopise ministerstva pro místní rozvoj/Stanovení výdajů bude výše procentního odvodu stanovena podle lhůty jeho překročení.</w:t>
            </w:r>
          </w:p>
          <w:p w14:paraId="3295EAC7"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3C5CAA16" w14:textId="77777777" w:rsidR="005460FC" w:rsidRDefault="005460FC" w:rsidP="005460FC">
            <w:pPr>
              <w:pStyle w:val="Odstavecseseznamem"/>
              <w:widowControl w:val="0"/>
              <w:numPr>
                <w:ilvl w:val="0"/>
                <w:numId w:val="40"/>
              </w:numPr>
              <w:spacing w:after="120"/>
              <w:ind w:left="317" w:hanging="283"/>
              <w:jc w:val="both"/>
              <w:rPr>
                <w:rFonts w:asciiTheme="minorHAnsi" w:hAnsiTheme="minorHAnsi"/>
                <w:snapToGrid w:val="0"/>
                <w:sz w:val="22"/>
                <w:szCs w:val="22"/>
              </w:rPr>
            </w:pPr>
            <w:r>
              <w:rPr>
                <w:rFonts w:asciiTheme="minorHAnsi" w:hAnsiTheme="minorHAnsi"/>
                <w:snapToGrid w:val="0"/>
                <w:sz w:val="22"/>
                <w:szCs w:val="22"/>
              </w:rPr>
              <w:t xml:space="preserve">1. – 30. pracovní den (včetně) po termínu stanoveném na Dopise ministerstva pro místní rozvoj/Stanovení výdajů bude výše procentního odvodu 0,2 % z celkové schválené částky, </w:t>
            </w:r>
          </w:p>
          <w:p w14:paraId="49F5E702" w14:textId="77777777" w:rsidR="005460FC" w:rsidRDefault="005460FC" w:rsidP="005460FC">
            <w:pPr>
              <w:pStyle w:val="Odstavecseseznamem"/>
              <w:widowControl w:val="0"/>
              <w:numPr>
                <w:ilvl w:val="0"/>
                <w:numId w:val="40"/>
              </w:numPr>
              <w:spacing w:after="120"/>
              <w:ind w:left="317" w:hanging="283"/>
              <w:jc w:val="both"/>
              <w:rPr>
                <w:rFonts w:asciiTheme="minorHAnsi" w:hAnsiTheme="minorHAnsi"/>
                <w:snapToGrid w:val="0"/>
                <w:sz w:val="22"/>
                <w:szCs w:val="22"/>
              </w:rPr>
            </w:pPr>
            <w:r>
              <w:rPr>
                <w:rFonts w:asciiTheme="minorHAnsi" w:hAnsiTheme="minorHAnsi"/>
                <w:snapToGrid w:val="0"/>
                <w:sz w:val="22"/>
                <w:szCs w:val="22"/>
              </w:rPr>
              <w:t xml:space="preserve">31. – 60. pracovní den (včetně) po termínu stanoveném na Dopise ministerstva pro místní rozvoj/Stanovení výdajů bude výše procentního odvodu 50 % z celkové schválené částky, </w:t>
            </w:r>
          </w:p>
          <w:p w14:paraId="79AC0978" w14:textId="77777777" w:rsidR="005460FC" w:rsidRDefault="005460FC" w:rsidP="005460FC">
            <w:pPr>
              <w:pStyle w:val="Odstavecseseznamem"/>
              <w:widowControl w:val="0"/>
              <w:numPr>
                <w:ilvl w:val="0"/>
                <w:numId w:val="40"/>
              </w:numPr>
              <w:spacing w:after="120"/>
              <w:ind w:left="317" w:hanging="283"/>
              <w:jc w:val="both"/>
              <w:rPr>
                <w:rFonts w:asciiTheme="minorHAnsi" w:hAnsiTheme="minorHAnsi"/>
                <w:snapToGrid w:val="0"/>
                <w:sz w:val="22"/>
                <w:szCs w:val="22"/>
              </w:rPr>
            </w:pPr>
            <w:r>
              <w:rPr>
                <w:rFonts w:asciiTheme="minorHAnsi" w:hAnsiTheme="minorHAnsi"/>
                <w:snapToGrid w:val="0"/>
                <w:sz w:val="22"/>
                <w:szCs w:val="22"/>
              </w:rPr>
              <w:t>61 a vice pracovních dní po termínu stanoveném na Dopise ministerstva pro místní rozvoj/Stanovení výdajů bude výše procentního odvodu 100 % z celkové schválené částky.</w:t>
            </w:r>
          </w:p>
        </w:tc>
      </w:tr>
      <w:tr w:rsidR="005460FC" w14:paraId="28BC2D77" w14:textId="77777777" w:rsidTr="005460FC">
        <w:trPr>
          <w:trHeight w:val="1538"/>
        </w:trPr>
        <w:tc>
          <w:tcPr>
            <w:tcW w:w="817" w:type="dxa"/>
            <w:tcBorders>
              <w:top w:val="single" w:sz="4" w:space="0" w:color="auto"/>
              <w:left w:val="single" w:sz="4" w:space="0" w:color="auto"/>
              <w:bottom w:val="single" w:sz="4" w:space="0" w:color="auto"/>
              <w:right w:val="single" w:sz="4" w:space="0" w:color="auto"/>
            </w:tcBorders>
            <w:hideMark/>
          </w:tcPr>
          <w:p w14:paraId="5160B8AE" w14:textId="77777777" w:rsidR="005460FC" w:rsidRDefault="005460FC">
            <w:pPr>
              <w:spacing w:after="120"/>
              <w:jc w:val="both"/>
              <w:rPr>
                <w:rFonts w:asciiTheme="minorHAnsi" w:hAnsiTheme="minorHAnsi"/>
                <w:sz w:val="22"/>
                <w:szCs w:val="22"/>
              </w:rPr>
            </w:pPr>
            <w:r>
              <w:rPr>
                <w:rFonts w:asciiTheme="minorHAnsi" w:hAnsiTheme="minorHAnsi"/>
                <w:sz w:val="22"/>
                <w:szCs w:val="22"/>
              </w:rPr>
              <w:t>7.</w:t>
            </w:r>
          </w:p>
        </w:tc>
        <w:tc>
          <w:tcPr>
            <w:tcW w:w="3827" w:type="dxa"/>
            <w:tcBorders>
              <w:top w:val="single" w:sz="4" w:space="0" w:color="auto"/>
              <w:left w:val="single" w:sz="4" w:space="0" w:color="auto"/>
              <w:bottom w:val="single" w:sz="4" w:space="0" w:color="auto"/>
              <w:right w:val="single" w:sz="4" w:space="0" w:color="auto"/>
            </w:tcBorders>
            <w:hideMark/>
          </w:tcPr>
          <w:p w14:paraId="0699C547"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Příjemce je povinen ověřitelným způsobem ukončit všechny schválené aktivity projektu, do termínu uvedeného na Stanovení.  </w:t>
            </w:r>
          </w:p>
        </w:tc>
        <w:tc>
          <w:tcPr>
            <w:tcW w:w="1843" w:type="dxa"/>
            <w:tcBorders>
              <w:top w:val="single" w:sz="4" w:space="0" w:color="auto"/>
              <w:left w:val="single" w:sz="4" w:space="0" w:color="auto"/>
              <w:bottom w:val="single" w:sz="4" w:space="0" w:color="auto"/>
              <w:right w:val="single" w:sz="4" w:space="0" w:color="auto"/>
            </w:tcBorders>
            <w:hideMark/>
          </w:tcPr>
          <w:p w14:paraId="5431F501" w14:textId="38E4D90B" w:rsidR="005460FC" w:rsidRDefault="005460FC" w:rsidP="00E84FA3">
            <w:pPr>
              <w:widowControl w:val="0"/>
              <w:spacing w:after="120"/>
              <w:jc w:val="both"/>
              <w:rPr>
                <w:rFonts w:asciiTheme="minorHAnsi" w:hAnsiTheme="minorHAnsi"/>
                <w:snapToGrid w:val="0"/>
                <w:sz w:val="22"/>
                <w:szCs w:val="22"/>
              </w:rPr>
            </w:pPr>
            <w:r>
              <w:rPr>
                <w:rFonts w:asciiTheme="minorHAnsi" w:hAnsiTheme="minorHAnsi" w:cstheme="minorHAnsi"/>
                <w:sz w:val="22"/>
                <w:szCs w:val="22"/>
                <w:lang w:eastAsia="ar-SA"/>
              </w:rPr>
              <w:t>Vyzvání k nápravě v dodatečné lhůtě – podle odst. 1, §</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14f  zákona č. 218/2000 Sb., o rozpočtových </w:t>
            </w:r>
            <w:r>
              <w:rPr>
                <w:rFonts w:asciiTheme="minorHAnsi" w:hAnsiTheme="minorHAnsi" w:cstheme="minorHAnsi"/>
                <w:sz w:val="22"/>
                <w:szCs w:val="22"/>
                <w:lang w:eastAsia="ar-SA"/>
              </w:rPr>
              <w:lastRenderedPageBreak/>
              <w:t>pravidlech.</w:t>
            </w:r>
          </w:p>
        </w:tc>
        <w:tc>
          <w:tcPr>
            <w:tcW w:w="2471" w:type="dxa"/>
            <w:tcBorders>
              <w:top w:val="single" w:sz="4" w:space="0" w:color="auto"/>
              <w:left w:val="single" w:sz="4" w:space="0" w:color="auto"/>
              <w:bottom w:val="single" w:sz="4" w:space="0" w:color="auto"/>
              <w:right w:val="single" w:sz="4" w:space="0" w:color="auto"/>
            </w:tcBorders>
            <w:hideMark/>
          </w:tcPr>
          <w:p w14:paraId="1B911AC1" w14:textId="429B7486" w:rsidR="005460FC" w:rsidRDefault="005460FC" w:rsidP="00E84FA3">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Za opožděné odevzdání dokumentů po uplynutí dodatečné lhůty, stanovené </w:t>
            </w:r>
            <w:r>
              <w:rPr>
                <w:rFonts w:asciiTheme="minorHAnsi" w:hAnsiTheme="minorHAnsi" w:cstheme="minorHAnsi"/>
                <w:sz w:val="22"/>
                <w:szCs w:val="22"/>
                <w:lang w:eastAsia="ar-SA"/>
              </w:rPr>
              <w:t>podle odst. 1, §</w:t>
            </w:r>
            <w:r w:rsidR="00E84FA3">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218/2000 Sb., </w:t>
            </w:r>
            <w:r>
              <w:rPr>
                <w:rFonts w:asciiTheme="minorHAnsi" w:hAnsiTheme="minorHAnsi" w:cstheme="minorHAnsi"/>
                <w:sz w:val="22"/>
                <w:szCs w:val="22"/>
                <w:lang w:eastAsia="ar-SA"/>
              </w:rPr>
              <w:lastRenderedPageBreak/>
              <w:t>o</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rozpočtových pravidlech, </w:t>
            </w:r>
            <w:r>
              <w:rPr>
                <w:rFonts w:asciiTheme="minorHAnsi" w:hAnsiTheme="minorHAnsi"/>
                <w:snapToGrid w:val="0"/>
                <w:sz w:val="22"/>
                <w:szCs w:val="22"/>
              </w:rPr>
              <w:t>bude výše procentního odvodu 1 % schválené částky k proplacení, maximálně však 10 000,- Kč.</w:t>
            </w:r>
          </w:p>
        </w:tc>
      </w:tr>
      <w:tr w:rsidR="005460FC" w14:paraId="70278BA0" w14:textId="77777777" w:rsidTr="005460FC">
        <w:trPr>
          <w:trHeight w:val="2010"/>
        </w:trPr>
        <w:tc>
          <w:tcPr>
            <w:tcW w:w="817" w:type="dxa"/>
            <w:tcBorders>
              <w:top w:val="single" w:sz="4" w:space="0" w:color="auto"/>
              <w:left w:val="single" w:sz="4" w:space="0" w:color="auto"/>
              <w:bottom w:val="single" w:sz="4" w:space="0" w:color="auto"/>
              <w:right w:val="single" w:sz="4" w:space="0" w:color="auto"/>
            </w:tcBorders>
            <w:hideMark/>
          </w:tcPr>
          <w:p w14:paraId="5628EF6B" w14:textId="77777777" w:rsidR="005460FC" w:rsidRDefault="005460FC">
            <w:pPr>
              <w:spacing w:after="120"/>
              <w:jc w:val="both"/>
              <w:rPr>
                <w:rFonts w:asciiTheme="minorHAnsi" w:hAnsiTheme="minorHAnsi"/>
                <w:sz w:val="22"/>
                <w:szCs w:val="22"/>
              </w:rPr>
            </w:pPr>
            <w:r>
              <w:rPr>
                <w:rFonts w:asciiTheme="minorHAnsi" w:hAnsiTheme="minorHAnsi"/>
                <w:sz w:val="22"/>
                <w:szCs w:val="22"/>
              </w:rPr>
              <w:lastRenderedPageBreak/>
              <w:t>8.</w:t>
            </w:r>
          </w:p>
        </w:tc>
        <w:tc>
          <w:tcPr>
            <w:tcW w:w="3827" w:type="dxa"/>
            <w:tcBorders>
              <w:top w:val="single" w:sz="4" w:space="0" w:color="auto"/>
              <w:left w:val="single" w:sz="4" w:space="0" w:color="auto"/>
              <w:bottom w:val="single" w:sz="4" w:space="0" w:color="auto"/>
              <w:right w:val="single" w:sz="4" w:space="0" w:color="auto"/>
            </w:tcBorders>
            <w:hideMark/>
          </w:tcPr>
          <w:p w14:paraId="7B75B6C1"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 xml:space="preserve">Příjemce je povinen nejpozději při podání poslední Žádosti o platbu prokázat naplnění účelu projektu, na který mu byly peněžní prostředky poskytnuty, a prokázat, že indikátory byly naplněny v termínu a cílové hodnotě, uvedené ve Stanovení. </w:t>
            </w:r>
          </w:p>
          <w:p w14:paraId="6DF116FA"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550B613E" w14:textId="77777777" w:rsidR="005460FC" w:rsidRDefault="005460FC" w:rsidP="005460FC">
            <w:pPr>
              <w:pStyle w:val="Odstavecseseznamem"/>
              <w:widowControl w:val="0"/>
              <w:numPr>
                <w:ilvl w:val="0"/>
                <w:numId w:val="47"/>
              </w:numPr>
              <w:spacing w:after="120"/>
              <w:ind w:left="742" w:right="-2" w:hanging="382"/>
              <w:jc w:val="both"/>
              <w:rPr>
                <w:rFonts w:asciiTheme="minorHAnsi" w:hAnsiTheme="minorHAnsi"/>
                <w:snapToGrid w:val="0"/>
                <w:sz w:val="22"/>
                <w:szCs w:val="22"/>
              </w:rPr>
            </w:pPr>
            <w:r>
              <w:rPr>
                <w:rFonts w:asciiTheme="minorHAnsi" w:hAnsiTheme="minorHAnsi"/>
                <w:b/>
                <w:snapToGrid w:val="0"/>
                <w:sz w:val="22"/>
                <w:szCs w:val="22"/>
              </w:rPr>
              <w:t>5 75 01</w:t>
            </w:r>
            <w:r>
              <w:rPr>
                <w:rFonts w:asciiTheme="minorHAnsi" w:hAnsiTheme="minorHAnsi"/>
                <w:snapToGrid w:val="0"/>
                <w:sz w:val="22"/>
                <w:szCs w:val="22"/>
              </w:rPr>
              <w:t xml:space="preserve"> – Počet nových a modernizovaných objektů sloužících složkám IZS.</w:t>
            </w:r>
          </w:p>
          <w:p w14:paraId="309E5B12" w14:textId="77777777" w:rsidR="000C633A" w:rsidRPr="000C633A" w:rsidRDefault="000C633A" w:rsidP="000C633A">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Pro příjemce jsou závazné pouze indikátory uvedené ve Stanovení.</w:t>
            </w:r>
          </w:p>
        </w:tc>
        <w:tc>
          <w:tcPr>
            <w:tcW w:w="1843" w:type="dxa"/>
            <w:tcBorders>
              <w:top w:val="single" w:sz="4" w:space="0" w:color="auto"/>
              <w:left w:val="single" w:sz="4" w:space="0" w:color="auto"/>
              <w:bottom w:val="single" w:sz="4" w:space="0" w:color="auto"/>
              <w:right w:val="single" w:sz="4" w:space="0" w:color="auto"/>
            </w:tcBorders>
            <w:hideMark/>
          </w:tcPr>
          <w:p w14:paraId="46188952" w14:textId="509DDADE" w:rsidR="005460FC" w:rsidRDefault="005460FC" w:rsidP="00E84FA3">
            <w:pPr>
              <w:widowControl w:val="0"/>
              <w:spacing w:after="120"/>
              <w:ind w:right="-2"/>
              <w:jc w:val="both"/>
              <w:rPr>
                <w:rFonts w:asciiTheme="minorHAnsi" w:hAnsiTheme="minorHAnsi"/>
                <w:snapToGrid w:val="0"/>
                <w:sz w:val="22"/>
                <w:szCs w:val="22"/>
              </w:rPr>
            </w:pPr>
            <w:r>
              <w:rPr>
                <w:rFonts w:asciiTheme="minorHAnsi" w:hAnsiTheme="minorHAnsi" w:cstheme="minorHAnsi"/>
                <w:sz w:val="22"/>
                <w:szCs w:val="22"/>
                <w:lang w:eastAsia="ar-SA"/>
              </w:rPr>
              <w:t>Vyzvání k nápravě v dodatečné lhůtě – podle odst. 1, §</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w:t>
            </w:r>
          </w:p>
        </w:tc>
        <w:tc>
          <w:tcPr>
            <w:tcW w:w="2471" w:type="dxa"/>
            <w:tcBorders>
              <w:top w:val="single" w:sz="4" w:space="0" w:color="auto"/>
              <w:left w:val="single" w:sz="4" w:space="0" w:color="auto"/>
              <w:bottom w:val="single" w:sz="4" w:space="0" w:color="auto"/>
              <w:right w:val="single" w:sz="4" w:space="0" w:color="auto"/>
            </w:tcBorders>
            <w:hideMark/>
          </w:tcPr>
          <w:p w14:paraId="3658E914" w14:textId="3FDF28F8"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prokazujících naplnění účelu projektu po uplynutí dodatečné lhůty, stanovené </w:t>
            </w:r>
            <w:r>
              <w:rPr>
                <w:rFonts w:asciiTheme="minorHAnsi" w:hAnsiTheme="minorHAnsi" w:cstheme="minorHAnsi"/>
                <w:sz w:val="22"/>
                <w:szCs w:val="22"/>
                <w:lang w:eastAsia="ar-SA"/>
              </w:rPr>
              <w:t>podle odst. 1, §</w:t>
            </w:r>
            <w:r w:rsidR="00E84FA3">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 218/2000 Sb., o rozpočtových pravidlech,</w:t>
            </w:r>
            <w:r>
              <w:rPr>
                <w:rFonts w:asciiTheme="minorHAnsi" w:hAnsiTheme="minorHAnsi"/>
                <w:snapToGrid w:val="0"/>
                <w:sz w:val="22"/>
                <w:szCs w:val="22"/>
              </w:rPr>
              <w:t xml:space="preserve"> peněžní prostředky nebudou vyplaceny.</w:t>
            </w:r>
          </w:p>
          <w:p w14:paraId="0BF27963"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nenaplnění cílové hodnoty indikátoru I. na 100 % nebudou peněžní prostředky vyplaceny.</w:t>
            </w:r>
          </w:p>
        </w:tc>
      </w:tr>
      <w:tr w:rsidR="005460FC" w14:paraId="217B9F8F" w14:textId="77777777" w:rsidTr="005460FC">
        <w:trPr>
          <w:trHeight w:val="904"/>
        </w:trPr>
        <w:tc>
          <w:tcPr>
            <w:tcW w:w="817" w:type="dxa"/>
            <w:tcBorders>
              <w:top w:val="single" w:sz="4" w:space="0" w:color="auto"/>
              <w:left w:val="single" w:sz="4" w:space="0" w:color="auto"/>
              <w:bottom w:val="single" w:sz="4" w:space="0" w:color="auto"/>
              <w:right w:val="single" w:sz="4" w:space="0" w:color="auto"/>
            </w:tcBorders>
            <w:hideMark/>
          </w:tcPr>
          <w:p w14:paraId="38246FF6" w14:textId="77777777" w:rsidR="005460FC" w:rsidRDefault="005460FC">
            <w:pPr>
              <w:spacing w:after="120"/>
              <w:rPr>
                <w:rFonts w:asciiTheme="minorHAnsi" w:hAnsiTheme="minorHAnsi"/>
                <w:sz w:val="22"/>
                <w:szCs w:val="22"/>
              </w:rPr>
            </w:pPr>
            <w:r>
              <w:rPr>
                <w:rFonts w:asciiTheme="minorHAnsi" w:hAnsiTheme="minorHAnsi"/>
                <w:sz w:val="22"/>
                <w:szCs w:val="22"/>
              </w:rPr>
              <w:t>9.</w:t>
            </w:r>
          </w:p>
        </w:tc>
        <w:tc>
          <w:tcPr>
            <w:tcW w:w="3827" w:type="dxa"/>
            <w:tcBorders>
              <w:top w:val="single" w:sz="4" w:space="0" w:color="auto"/>
              <w:left w:val="single" w:sz="4" w:space="0" w:color="auto"/>
              <w:bottom w:val="single" w:sz="4" w:space="0" w:color="auto"/>
              <w:right w:val="single" w:sz="4" w:space="0" w:color="auto"/>
            </w:tcBorders>
            <w:hideMark/>
          </w:tcPr>
          <w:p w14:paraId="68E80D80"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z w:val="22"/>
                <w:szCs w:val="22"/>
              </w:rPr>
              <w:t>Příjemce je povinen v době udržitelnosti zachovat účel, na který mu byly peněžní prostředky poskytnuty.</w:t>
            </w:r>
          </w:p>
        </w:tc>
        <w:tc>
          <w:tcPr>
            <w:tcW w:w="1843" w:type="dxa"/>
            <w:tcBorders>
              <w:top w:val="single" w:sz="4" w:space="0" w:color="auto"/>
              <w:left w:val="single" w:sz="4" w:space="0" w:color="auto"/>
              <w:bottom w:val="single" w:sz="4" w:space="0" w:color="auto"/>
              <w:right w:val="single" w:sz="4" w:space="0" w:color="auto"/>
            </w:tcBorders>
            <w:hideMark/>
          </w:tcPr>
          <w:p w14:paraId="295ADF3D" w14:textId="77777777" w:rsidR="005460FC" w:rsidRDefault="005460FC">
            <w:pPr>
              <w:spacing w:after="120"/>
              <w:jc w:val="both"/>
              <w:rPr>
                <w:rFonts w:asciiTheme="minorHAnsi" w:hAnsiTheme="minorHAnsi"/>
                <w:snapToGrid w:val="0"/>
                <w:sz w:val="22"/>
                <w:szCs w:val="22"/>
              </w:rPr>
            </w:pPr>
            <w:r>
              <w:rPr>
                <w:rFonts w:asciiTheme="minorHAnsi" w:hAnsiTheme="minorHAnsi"/>
                <w:sz w:val="22"/>
                <w:szCs w:val="22"/>
              </w:rPr>
              <w:t>Není možné.</w:t>
            </w:r>
          </w:p>
        </w:tc>
        <w:tc>
          <w:tcPr>
            <w:tcW w:w="2471" w:type="dxa"/>
            <w:tcBorders>
              <w:top w:val="single" w:sz="4" w:space="0" w:color="auto"/>
              <w:left w:val="single" w:sz="4" w:space="0" w:color="auto"/>
              <w:bottom w:val="single" w:sz="4" w:space="0" w:color="auto"/>
              <w:right w:val="single" w:sz="4" w:space="0" w:color="auto"/>
            </w:tcBorders>
            <w:hideMark/>
          </w:tcPr>
          <w:p w14:paraId="1E32E4AE"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procentního odvodu bude rovna 100 %.</w:t>
            </w:r>
          </w:p>
        </w:tc>
      </w:tr>
      <w:tr w:rsidR="005460FC" w14:paraId="0E11E5F9" w14:textId="77777777" w:rsidTr="005460FC">
        <w:trPr>
          <w:trHeight w:val="85"/>
        </w:trPr>
        <w:tc>
          <w:tcPr>
            <w:tcW w:w="817" w:type="dxa"/>
            <w:tcBorders>
              <w:top w:val="single" w:sz="4" w:space="0" w:color="auto"/>
              <w:left w:val="single" w:sz="4" w:space="0" w:color="auto"/>
              <w:bottom w:val="single" w:sz="4" w:space="0" w:color="auto"/>
              <w:right w:val="single" w:sz="4" w:space="0" w:color="auto"/>
            </w:tcBorders>
            <w:hideMark/>
          </w:tcPr>
          <w:p w14:paraId="1EA4FB35" w14:textId="77777777" w:rsidR="005460FC" w:rsidRDefault="005460FC">
            <w:pPr>
              <w:spacing w:after="120"/>
              <w:jc w:val="both"/>
              <w:rPr>
                <w:rFonts w:asciiTheme="minorHAnsi" w:hAnsiTheme="minorHAnsi"/>
                <w:sz w:val="22"/>
                <w:szCs w:val="22"/>
              </w:rPr>
            </w:pPr>
            <w:r>
              <w:rPr>
                <w:rFonts w:asciiTheme="minorHAnsi" w:hAnsiTheme="minorHAnsi"/>
                <w:sz w:val="22"/>
                <w:szCs w:val="22"/>
              </w:rPr>
              <w:t>10.</w:t>
            </w:r>
          </w:p>
        </w:tc>
        <w:tc>
          <w:tcPr>
            <w:tcW w:w="3827" w:type="dxa"/>
            <w:tcBorders>
              <w:top w:val="single" w:sz="4" w:space="0" w:color="auto"/>
              <w:left w:val="single" w:sz="4" w:space="0" w:color="auto"/>
              <w:bottom w:val="single" w:sz="4" w:space="0" w:color="auto"/>
              <w:right w:val="single" w:sz="4" w:space="0" w:color="auto"/>
            </w:tcBorders>
            <w:hideMark/>
          </w:tcPr>
          <w:p w14:paraId="3A45D3F5"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 xml:space="preserve">Příjemce je povinen udržet indikátory po dobu pěti let od poslední platby příjemci, </w:t>
            </w:r>
            <w:r>
              <w:rPr>
                <w:rFonts w:asciiTheme="minorHAnsi" w:hAnsiTheme="minorHAnsi" w:cs="Arial"/>
                <w:snapToGrid w:val="0"/>
                <w:sz w:val="22"/>
                <w:szCs w:val="22"/>
              </w:rPr>
              <w:t>tj. po schválení závěrečné ŽoP ve 2. stupni,</w:t>
            </w:r>
            <w:r>
              <w:rPr>
                <w:rFonts w:asciiTheme="minorHAnsi" w:hAnsiTheme="minorHAnsi"/>
                <w:snapToGrid w:val="0"/>
                <w:sz w:val="22"/>
                <w:szCs w:val="22"/>
              </w:rPr>
              <w:t xml:space="preserve"> pokud je to z hlediska charakteru projektu možné.</w:t>
            </w:r>
          </w:p>
          <w:p w14:paraId="23E11E38"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0E511760" w14:textId="77777777" w:rsidR="005460FC" w:rsidRDefault="005460FC" w:rsidP="005460FC">
            <w:pPr>
              <w:pStyle w:val="Odstavecseseznamem"/>
              <w:widowControl w:val="0"/>
              <w:numPr>
                <w:ilvl w:val="0"/>
                <w:numId w:val="48"/>
              </w:numPr>
              <w:spacing w:after="120"/>
              <w:ind w:left="743" w:right="-2" w:hanging="426"/>
              <w:jc w:val="both"/>
              <w:rPr>
                <w:rFonts w:asciiTheme="minorHAnsi" w:hAnsiTheme="minorHAnsi"/>
                <w:snapToGrid w:val="0"/>
                <w:sz w:val="22"/>
                <w:szCs w:val="22"/>
              </w:rPr>
            </w:pPr>
            <w:r>
              <w:rPr>
                <w:rFonts w:asciiTheme="minorHAnsi" w:hAnsiTheme="minorHAnsi"/>
                <w:b/>
                <w:snapToGrid w:val="0"/>
                <w:sz w:val="22"/>
                <w:szCs w:val="22"/>
              </w:rPr>
              <w:t>5 75 01</w:t>
            </w:r>
            <w:r>
              <w:rPr>
                <w:rFonts w:asciiTheme="minorHAnsi" w:hAnsiTheme="minorHAnsi"/>
                <w:snapToGrid w:val="0"/>
                <w:sz w:val="22"/>
                <w:szCs w:val="22"/>
              </w:rPr>
              <w:t xml:space="preserve"> – Počet nových a modernizovaných objektů sloužících složkám IZS.</w:t>
            </w:r>
          </w:p>
          <w:p w14:paraId="57FA66DC" w14:textId="77777777" w:rsidR="000C633A" w:rsidRPr="000C633A" w:rsidRDefault="000C633A" w:rsidP="000C633A">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Pro příjemce jsou závazné pouze indikátory uvedené ve Stanovení.</w:t>
            </w:r>
          </w:p>
        </w:tc>
        <w:tc>
          <w:tcPr>
            <w:tcW w:w="1843" w:type="dxa"/>
            <w:tcBorders>
              <w:top w:val="single" w:sz="4" w:space="0" w:color="auto"/>
              <w:left w:val="single" w:sz="4" w:space="0" w:color="auto"/>
              <w:bottom w:val="single" w:sz="4" w:space="0" w:color="auto"/>
              <w:right w:val="single" w:sz="4" w:space="0" w:color="auto"/>
            </w:tcBorders>
            <w:hideMark/>
          </w:tcPr>
          <w:p w14:paraId="3C48ED79" w14:textId="77777777" w:rsidR="005460FC" w:rsidRDefault="005460FC">
            <w:pPr>
              <w:spacing w:after="120"/>
              <w:jc w:val="both"/>
              <w:rPr>
                <w:rFonts w:asciiTheme="minorHAnsi" w:hAnsiTheme="minorHAnsi"/>
                <w:sz w:val="22"/>
                <w:szCs w:val="22"/>
              </w:rPr>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hideMark/>
          </w:tcPr>
          <w:p w14:paraId="54CB15D8" w14:textId="77777777" w:rsidR="005460FC" w:rsidRDefault="005460FC">
            <w:pPr>
              <w:spacing w:after="120"/>
              <w:ind w:right="-2"/>
              <w:jc w:val="both"/>
            </w:pPr>
            <w:r>
              <w:rPr>
                <w:rFonts w:asciiTheme="minorHAnsi" w:hAnsiTheme="minorHAnsi"/>
                <w:snapToGrid w:val="0"/>
                <w:sz w:val="22"/>
                <w:szCs w:val="22"/>
              </w:rPr>
              <w:t>V případě neudržení cílové hodnoty indikátoru I. na 100 % bude vrácena celková částka vyplacených peněžních prostředků.</w:t>
            </w:r>
          </w:p>
        </w:tc>
      </w:tr>
      <w:tr w:rsidR="005460FC" w14:paraId="0DAC5255" w14:textId="77777777" w:rsidTr="005460FC">
        <w:trPr>
          <w:trHeight w:val="551"/>
        </w:trPr>
        <w:tc>
          <w:tcPr>
            <w:tcW w:w="817" w:type="dxa"/>
            <w:tcBorders>
              <w:top w:val="single" w:sz="4" w:space="0" w:color="auto"/>
              <w:left w:val="single" w:sz="4" w:space="0" w:color="auto"/>
              <w:bottom w:val="single" w:sz="4" w:space="0" w:color="auto"/>
              <w:right w:val="single" w:sz="4" w:space="0" w:color="auto"/>
            </w:tcBorders>
            <w:hideMark/>
          </w:tcPr>
          <w:p w14:paraId="5FB04783" w14:textId="77777777" w:rsidR="005460FC" w:rsidRDefault="005460FC">
            <w:pPr>
              <w:spacing w:after="120"/>
              <w:jc w:val="both"/>
              <w:rPr>
                <w:rFonts w:asciiTheme="minorHAnsi" w:hAnsiTheme="minorHAnsi"/>
                <w:sz w:val="22"/>
                <w:szCs w:val="22"/>
              </w:rPr>
            </w:pPr>
            <w:r>
              <w:rPr>
                <w:rFonts w:asciiTheme="minorHAnsi" w:hAnsiTheme="minorHAnsi"/>
                <w:sz w:val="22"/>
                <w:szCs w:val="22"/>
              </w:rPr>
              <w:t>11.</w:t>
            </w:r>
          </w:p>
        </w:tc>
        <w:tc>
          <w:tcPr>
            <w:tcW w:w="3827" w:type="dxa"/>
            <w:tcBorders>
              <w:top w:val="single" w:sz="4" w:space="0" w:color="auto"/>
              <w:left w:val="single" w:sz="4" w:space="0" w:color="auto"/>
              <w:bottom w:val="single" w:sz="4" w:space="0" w:color="auto"/>
              <w:right w:val="single" w:sz="4" w:space="0" w:color="auto"/>
            </w:tcBorders>
            <w:hideMark/>
          </w:tcPr>
          <w:p w14:paraId="08B4666D"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z w:val="22"/>
                <w:szCs w:val="22"/>
              </w:rPr>
              <w:t>Příjemce je povinen v době udržitelnosti zachovat majetek získaný byť i částečně z peněžních prostředků.</w:t>
            </w:r>
          </w:p>
        </w:tc>
        <w:tc>
          <w:tcPr>
            <w:tcW w:w="1843" w:type="dxa"/>
            <w:tcBorders>
              <w:top w:val="single" w:sz="4" w:space="0" w:color="auto"/>
              <w:left w:val="single" w:sz="4" w:space="0" w:color="auto"/>
              <w:bottom w:val="single" w:sz="4" w:space="0" w:color="auto"/>
              <w:right w:val="single" w:sz="4" w:space="0" w:color="auto"/>
            </w:tcBorders>
            <w:hideMark/>
          </w:tcPr>
          <w:p w14:paraId="0BCA246A" w14:textId="738F05D9" w:rsidR="005460FC" w:rsidRDefault="005460FC" w:rsidP="00E84FA3">
            <w:pPr>
              <w:spacing w:after="120"/>
              <w:jc w:val="both"/>
              <w:rPr>
                <w:rFonts w:asciiTheme="minorHAnsi" w:hAnsiTheme="minorHAnsi"/>
                <w:snapToGrid w:val="0"/>
                <w:sz w:val="22"/>
                <w:szCs w:val="22"/>
              </w:rPr>
            </w:pPr>
            <w:r>
              <w:rPr>
                <w:rFonts w:asciiTheme="minorHAnsi" w:hAnsiTheme="minorHAnsi"/>
                <w:sz w:val="22"/>
                <w:szCs w:val="22"/>
              </w:rPr>
              <w:t>Vyzvání k nápravě v dodatečné lhůtě – podle odst. 1, §</w:t>
            </w:r>
            <w:r w:rsidR="00E84FA3">
              <w:rPr>
                <w:rFonts w:asciiTheme="minorHAnsi" w:hAnsiTheme="minorHAnsi"/>
                <w:sz w:val="22"/>
                <w:szCs w:val="22"/>
              </w:rPr>
              <w:t> </w:t>
            </w:r>
            <w:r>
              <w:rPr>
                <w:rFonts w:asciiTheme="minorHAnsi" w:hAnsiTheme="minorHAnsi"/>
                <w:sz w:val="22"/>
                <w:szCs w:val="22"/>
              </w:rPr>
              <w:t>14f zákona č. 218/2000 Sb., o rozpočtových pravidlech.</w:t>
            </w:r>
          </w:p>
        </w:tc>
        <w:tc>
          <w:tcPr>
            <w:tcW w:w="2471" w:type="dxa"/>
            <w:tcBorders>
              <w:top w:val="single" w:sz="4" w:space="0" w:color="auto"/>
              <w:left w:val="single" w:sz="4" w:space="0" w:color="auto"/>
              <w:bottom w:val="single" w:sz="4" w:space="0" w:color="auto"/>
              <w:right w:val="single" w:sz="4" w:space="0" w:color="auto"/>
            </w:tcBorders>
            <w:hideMark/>
          </w:tcPr>
          <w:p w14:paraId="64E3AE8D" w14:textId="77777777" w:rsidR="005460FC" w:rsidRDefault="005460FC">
            <w:pPr>
              <w:spacing w:after="120"/>
              <w:ind w:right="-2"/>
              <w:jc w:val="both"/>
              <w:rPr>
                <w:rFonts w:asciiTheme="minorHAnsi" w:hAnsiTheme="minorHAnsi"/>
                <w:snapToGrid w:val="0"/>
                <w:sz w:val="22"/>
                <w:szCs w:val="22"/>
              </w:rPr>
            </w:pPr>
            <w:r>
              <w:rPr>
                <w:rFonts w:asciiTheme="minorHAnsi" w:hAnsiTheme="minorHAnsi"/>
                <w:sz w:val="22"/>
                <w:szCs w:val="22"/>
              </w:rPr>
              <w:t>V případě neprovedení opatření k nápravě ve stanovené lhůtě bude vyměřen odvod ve výši podpory, vyplacené na pořízený majetek.</w:t>
            </w:r>
          </w:p>
        </w:tc>
      </w:tr>
      <w:tr w:rsidR="005460FC" w14:paraId="1ECE1764" w14:textId="77777777" w:rsidTr="005460FC">
        <w:trPr>
          <w:trHeight w:val="720"/>
        </w:trPr>
        <w:tc>
          <w:tcPr>
            <w:tcW w:w="817" w:type="dxa"/>
            <w:vMerge w:val="restart"/>
            <w:tcBorders>
              <w:top w:val="single" w:sz="4" w:space="0" w:color="auto"/>
              <w:left w:val="single" w:sz="4" w:space="0" w:color="auto"/>
              <w:bottom w:val="single" w:sz="4" w:space="0" w:color="auto"/>
              <w:right w:val="single" w:sz="4" w:space="0" w:color="auto"/>
            </w:tcBorders>
          </w:tcPr>
          <w:p w14:paraId="26DF4B11" w14:textId="77777777" w:rsidR="005460FC" w:rsidRDefault="005460FC">
            <w:pPr>
              <w:spacing w:after="120"/>
              <w:jc w:val="both"/>
              <w:rPr>
                <w:rFonts w:asciiTheme="minorHAnsi" w:hAnsiTheme="minorHAnsi"/>
                <w:sz w:val="22"/>
                <w:szCs w:val="22"/>
              </w:rPr>
            </w:pPr>
            <w:r>
              <w:rPr>
                <w:rFonts w:asciiTheme="minorHAnsi" w:hAnsiTheme="minorHAnsi"/>
                <w:sz w:val="22"/>
                <w:szCs w:val="22"/>
              </w:rPr>
              <w:lastRenderedPageBreak/>
              <w:t>12.</w:t>
            </w:r>
          </w:p>
          <w:p w14:paraId="5F4F89E4" w14:textId="77777777" w:rsidR="005460FC" w:rsidRDefault="005460FC">
            <w:pPr>
              <w:spacing w:after="120"/>
              <w:jc w:val="both"/>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0969CAF2" w14:textId="77777777" w:rsidR="005460FC" w:rsidRDefault="005460FC">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 celou dobu realizace projektu a v době udržitelnosti příjemce nesmí bez předchozího souhlasu Řídicího orgánu IROP (dále jen „ŘO IROP“): </w:t>
            </w:r>
          </w:p>
        </w:tc>
        <w:tc>
          <w:tcPr>
            <w:tcW w:w="1843" w:type="dxa"/>
            <w:tcBorders>
              <w:top w:val="single" w:sz="4" w:space="0" w:color="auto"/>
              <w:left w:val="single" w:sz="4" w:space="0" w:color="auto"/>
              <w:bottom w:val="single" w:sz="4" w:space="0" w:color="auto"/>
              <w:right w:val="single" w:sz="4" w:space="0" w:color="auto"/>
            </w:tcBorders>
          </w:tcPr>
          <w:p w14:paraId="3A9B5498" w14:textId="77777777" w:rsidR="005460FC" w:rsidRDefault="005460FC">
            <w:pPr>
              <w:spacing w:after="120"/>
              <w:jc w:val="both"/>
              <w:rPr>
                <w:rFonts w:asciiTheme="minorHAnsi" w:hAnsiTheme="minorHAnsi"/>
                <w:snapToGrid w:val="0"/>
                <w:sz w:val="22"/>
                <w:szCs w:val="22"/>
              </w:rPr>
            </w:pPr>
          </w:p>
        </w:tc>
        <w:tc>
          <w:tcPr>
            <w:tcW w:w="2471" w:type="dxa"/>
            <w:tcBorders>
              <w:top w:val="single" w:sz="4" w:space="0" w:color="auto"/>
              <w:left w:val="single" w:sz="4" w:space="0" w:color="auto"/>
              <w:bottom w:val="single" w:sz="4" w:space="0" w:color="auto"/>
              <w:right w:val="single" w:sz="4" w:space="0" w:color="auto"/>
            </w:tcBorders>
          </w:tcPr>
          <w:p w14:paraId="74092B46" w14:textId="77777777" w:rsidR="005460FC" w:rsidRDefault="005460FC">
            <w:pPr>
              <w:widowControl w:val="0"/>
              <w:spacing w:after="120"/>
              <w:jc w:val="both"/>
              <w:rPr>
                <w:snapToGrid w:val="0"/>
              </w:rPr>
            </w:pPr>
          </w:p>
        </w:tc>
      </w:tr>
      <w:tr w:rsidR="005460FC" w14:paraId="11F9FAE7" w14:textId="77777777" w:rsidTr="005460FC">
        <w:trPr>
          <w:trHeight w:val="720"/>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3640DA6" w14:textId="77777777" w:rsidR="005460FC" w:rsidRDefault="005460FC">
            <w:pPr>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106C8D99" w14:textId="77777777" w:rsidR="005460FC" w:rsidRDefault="005460FC" w:rsidP="005460FC">
            <w:pPr>
              <w:pStyle w:val="Odstavecseseznamem"/>
              <w:numPr>
                <w:ilvl w:val="0"/>
                <w:numId w:val="4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peněžních prostředků prodat, převést jinému subjektu, </w:t>
            </w:r>
          </w:p>
        </w:tc>
        <w:tc>
          <w:tcPr>
            <w:tcW w:w="1843" w:type="dxa"/>
            <w:tcBorders>
              <w:top w:val="single" w:sz="4" w:space="0" w:color="auto"/>
              <w:left w:val="single" w:sz="4" w:space="0" w:color="auto"/>
              <w:bottom w:val="single" w:sz="4" w:space="0" w:color="auto"/>
              <w:right w:val="single" w:sz="4" w:space="0" w:color="auto"/>
            </w:tcBorders>
            <w:hideMark/>
          </w:tcPr>
          <w:p w14:paraId="2F80D676" w14:textId="77777777" w:rsidR="005460FC" w:rsidRDefault="005460FC">
            <w:pPr>
              <w:spacing w:after="120"/>
              <w:jc w:val="both"/>
              <w:rPr>
                <w:rFonts w:asciiTheme="minorHAnsi" w:hAnsiTheme="minorHAnsi" w:cstheme="minorHAnsi"/>
                <w:sz w:val="22"/>
                <w:szCs w:val="22"/>
                <w:lang w:eastAsia="ar-SA"/>
              </w:rPr>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hideMark/>
          </w:tcPr>
          <w:p w14:paraId="7CB04953"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procentního odvodu bude rovna 100 %.</w:t>
            </w:r>
          </w:p>
        </w:tc>
      </w:tr>
      <w:tr w:rsidR="005460FC" w14:paraId="4ACFF49E" w14:textId="77777777" w:rsidTr="005460FC">
        <w:trPr>
          <w:trHeight w:val="1647"/>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3E1B2C3C" w14:textId="77777777" w:rsidR="005460FC" w:rsidRDefault="005460FC">
            <w:pPr>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337CDC1B" w14:textId="77777777" w:rsidR="005460FC" w:rsidRDefault="005460FC" w:rsidP="005460FC">
            <w:pPr>
              <w:pStyle w:val="Odstavecseseznamem"/>
              <w:numPr>
                <w:ilvl w:val="0"/>
                <w:numId w:val="4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peněžních prostředků zatížit jinými věcnými právy třetích osob (služebnosti/reálná břemena) nebo zřídit zástavní právo, s výjimkou zástavního práva k zajištění úvěru na financování projektu,</w:t>
            </w:r>
          </w:p>
          <w:p w14:paraId="5814B746" w14:textId="77777777" w:rsidR="005460FC" w:rsidRDefault="005460FC" w:rsidP="005460FC">
            <w:pPr>
              <w:pStyle w:val="Odstavecseseznamem"/>
              <w:numPr>
                <w:ilvl w:val="0"/>
                <w:numId w:val="43"/>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odvodem, </w:t>
            </w:r>
          </w:p>
          <w:p w14:paraId="2DC7CC80" w14:textId="77777777" w:rsidR="005460FC" w:rsidRDefault="005460FC" w:rsidP="005460FC">
            <w:pPr>
              <w:pStyle w:val="Odstavecseseznamem"/>
              <w:numPr>
                <w:ilvl w:val="0"/>
                <w:numId w:val="43"/>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c>
          <w:tcPr>
            <w:tcW w:w="1843" w:type="dxa"/>
            <w:tcBorders>
              <w:top w:val="single" w:sz="4" w:space="0" w:color="auto"/>
              <w:left w:val="single" w:sz="4" w:space="0" w:color="auto"/>
              <w:bottom w:val="single" w:sz="4" w:space="0" w:color="auto"/>
              <w:right w:val="single" w:sz="4" w:space="0" w:color="auto"/>
            </w:tcBorders>
            <w:hideMark/>
          </w:tcPr>
          <w:p w14:paraId="64FD1CB2" w14:textId="77777777" w:rsidR="005460FC" w:rsidRDefault="005460FC">
            <w:pPr>
              <w:spacing w:after="120"/>
              <w:jc w:val="both"/>
              <w:rPr>
                <w:rFonts w:asciiTheme="minorHAnsi" w:hAnsiTheme="minorHAnsi" w:cstheme="minorHAnsi"/>
                <w:sz w:val="22"/>
                <w:szCs w:val="22"/>
                <w:lang w:eastAsia="ar-SA"/>
              </w:rPr>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tcPr>
          <w:p w14:paraId="5D42BC78"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procentního odvodu bude 10 % schválené částky k proplacení (pouze z faktur na pořízení majetku v příslušných etapách).</w:t>
            </w:r>
          </w:p>
          <w:p w14:paraId="64451F55" w14:textId="77777777" w:rsidR="005460FC" w:rsidRDefault="005460FC">
            <w:pPr>
              <w:widowControl w:val="0"/>
              <w:spacing w:after="120"/>
              <w:jc w:val="both"/>
              <w:rPr>
                <w:rFonts w:asciiTheme="minorHAnsi" w:hAnsiTheme="minorHAnsi"/>
                <w:snapToGrid w:val="0"/>
                <w:sz w:val="22"/>
                <w:szCs w:val="22"/>
              </w:rPr>
            </w:pPr>
          </w:p>
        </w:tc>
      </w:tr>
      <w:tr w:rsidR="005460FC" w14:paraId="31B642BE" w14:textId="77777777" w:rsidTr="005460FC">
        <w:trPr>
          <w:trHeight w:val="1301"/>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26E82B17" w14:textId="77777777" w:rsidR="005460FC" w:rsidRDefault="005460FC">
            <w:pPr>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tcPr>
          <w:p w14:paraId="33C9D517" w14:textId="77777777" w:rsidR="005460FC" w:rsidRDefault="005460FC" w:rsidP="005460FC">
            <w:pPr>
              <w:pStyle w:val="Odstavecseseznamem"/>
              <w:numPr>
                <w:ilvl w:val="0"/>
                <w:numId w:val="4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peněžních prostředků vypůjčit nebo pronajmout jinému subjektu. Nejedná se o krátkodobý pronájem.</w:t>
            </w:r>
          </w:p>
          <w:p w14:paraId="6100B4FC" w14:textId="77777777" w:rsidR="005460FC" w:rsidRDefault="005460FC">
            <w:pPr>
              <w:tabs>
                <w:tab w:val="left" w:pos="915"/>
              </w:tabs>
              <w:spacing w:after="120"/>
              <w:jc w:val="both"/>
              <w:rPr>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732C1B62" w14:textId="77777777" w:rsidR="005460FC" w:rsidRDefault="005460FC">
            <w:pPr>
              <w:spacing w:after="120"/>
              <w:jc w:val="both"/>
              <w:rPr>
                <w:rFonts w:asciiTheme="minorHAnsi" w:hAnsiTheme="minorHAnsi" w:cstheme="minorHAnsi"/>
                <w:sz w:val="22"/>
                <w:szCs w:val="22"/>
                <w:lang w:eastAsia="ar-SA"/>
              </w:rPr>
            </w:pPr>
            <w:r>
              <w:rPr>
                <w:rFonts w:asciiTheme="minorHAnsi" w:hAnsiTheme="minorHAnsi"/>
                <w:snapToGrid w:val="0"/>
                <w:sz w:val="22"/>
                <w:szCs w:val="22"/>
              </w:rPr>
              <w:t>Není možné.</w:t>
            </w:r>
          </w:p>
        </w:tc>
        <w:tc>
          <w:tcPr>
            <w:tcW w:w="2471" w:type="dxa"/>
            <w:tcBorders>
              <w:top w:val="single" w:sz="4" w:space="0" w:color="auto"/>
              <w:left w:val="single" w:sz="4" w:space="0" w:color="auto"/>
              <w:bottom w:val="single" w:sz="4" w:space="0" w:color="auto"/>
              <w:right w:val="single" w:sz="4" w:space="0" w:color="auto"/>
            </w:tcBorders>
            <w:hideMark/>
          </w:tcPr>
          <w:p w14:paraId="7E2377C2"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procentního odvodu bude 10 % schválené částky k proplacení (pouze z faktur na pořízení majetku v příslušných etapách).</w:t>
            </w:r>
          </w:p>
        </w:tc>
      </w:tr>
      <w:tr w:rsidR="005460FC" w14:paraId="02941A4F" w14:textId="77777777" w:rsidTr="005460FC">
        <w:tc>
          <w:tcPr>
            <w:tcW w:w="817" w:type="dxa"/>
            <w:tcBorders>
              <w:top w:val="single" w:sz="4" w:space="0" w:color="auto"/>
              <w:left w:val="single" w:sz="4" w:space="0" w:color="auto"/>
              <w:bottom w:val="single" w:sz="4" w:space="0" w:color="auto"/>
              <w:right w:val="single" w:sz="4" w:space="0" w:color="auto"/>
            </w:tcBorders>
            <w:hideMark/>
          </w:tcPr>
          <w:p w14:paraId="382B30D7" w14:textId="77777777" w:rsidR="005460FC" w:rsidRDefault="005460FC">
            <w:pPr>
              <w:spacing w:after="120"/>
              <w:jc w:val="both"/>
              <w:rPr>
                <w:rFonts w:asciiTheme="minorHAnsi" w:hAnsiTheme="minorHAnsi"/>
                <w:sz w:val="22"/>
                <w:szCs w:val="22"/>
              </w:rPr>
            </w:pPr>
            <w:r>
              <w:rPr>
                <w:rFonts w:asciiTheme="minorHAnsi" w:hAnsiTheme="minorHAnsi"/>
                <w:sz w:val="22"/>
                <w:szCs w:val="22"/>
              </w:rPr>
              <w:t>13.</w:t>
            </w:r>
          </w:p>
        </w:tc>
        <w:tc>
          <w:tcPr>
            <w:tcW w:w="3827" w:type="dxa"/>
            <w:tcBorders>
              <w:top w:val="single" w:sz="4" w:space="0" w:color="auto"/>
              <w:left w:val="single" w:sz="4" w:space="0" w:color="auto"/>
              <w:bottom w:val="single" w:sz="4" w:space="0" w:color="auto"/>
              <w:right w:val="single" w:sz="4" w:space="0" w:color="auto"/>
            </w:tcBorders>
            <w:hideMark/>
          </w:tcPr>
          <w:p w14:paraId="6BFD7C53"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 xml:space="preserve">Příjemce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76975C48"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 xml:space="preserve">Příjemce zajistí, aby veškerou dokumentaci a účetní doklady, související s realizací projektu, archivovali minimálně do konce roku 2028 partneři a dodavatelé příjemce a aby k této dokumentaci umožnili minimálně do konce roku 2028 přístup. </w:t>
            </w:r>
          </w:p>
        </w:tc>
        <w:tc>
          <w:tcPr>
            <w:tcW w:w="1843" w:type="dxa"/>
            <w:tcBorders>
              <w:top w:val="single" w:sz="4" w:space="0" w:color="auto"/>
              <w:left w:val="single" w:sz="4" w:space="0" w:color="auto"/>
              <w:bottom w:val="single" w:sz="4" w:space="0" w:color="auto"/>
              <w:right w:val="single" w:sz="4" w:space="0" w:color="auto"/>
            </w:tcBorders>
            <w:hideMark/>
          </w:tcPr>
          <w:p w14:paraId="27BC3829" w14:textId="5FC5D4C8" w:rsidR="005460FC" w:rsidRDefault="005460FC" w:rsidP="00E84FA3">
            <w:pPr>
              <w:widowControl w:val="0"/>
              <w:spacing w:after="120"/>
              <w:ind w:right="-2"/>
              <w:jc w:val="both"/>
              <w:rPr>
                <w:rFonts w:asciiTheme="minorHAnsi" w:hAnsiTheme="minorHAnsi"/>
                <w:snapToGrid w:val="0"/>
                <w:sz w:val="22"/>
                <w:szCs w:val="22"/>
              </w:rPr>
            </w:pPr>
            <w:r>
              <w:rPr>
                <w:rFonts w:asciiTheme="minorHAnsi" w:hAnsiTheme="minorHAnsi" w:cstheme="minorHAnsi"/>
                <w:sz w:val="22"/>
                <w:szCs w:val="22"/>
                <w:lang w:eastAsia="ar-SA"/>
              </w:rPr>
              <w:t>Vyzvání k nápravě v dodatečné lhůtě – podle odst. 1, §</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w:t>
            </w:r>
          </w:p>
        </w:tc>
        <w:tc>
          <w:tcPr>
            <w:tcW w:w="2471" w:type="dxa"/>
            <w:tcBorders>
              <w:top w:val="single" w:sz="4" w:space="0" w:color="auto"/>
              <w:left w:val="single" w:sz="4" w:space="0" w:color="auto"/>
              <w:bottom w:val="single" w:sz="4" w:space="0" w:color="auto"/>
              <w:right w:val="single" w:sz="4" w:space="0" w:color="auto"/>
            </w:tcBorders>
          </w:tcPr>
          <w:p w14:paraId="7AC33610"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výše procentního odvodu 0,2 % ze schválené částky k proplacení nebo z částky již vyplacených peněžních prostředků za etapu, ve které došlo k porušení; maximálně však 20 000,- Kč.</w:t>
            </w:r>
          </w:p>
          <w:p w14:paraId="2DFDF45B" w14:textId="77777777" w:rsidR="005460FC" w:rsidRDefault="005460FC">
            <w:pPr>
              <w:spacing w:after="120"/>
              <w:jc w:val="both"/>
            </w:pPr>
          </w:p>
        </w:tc>
      </w:tr>
      <w:tr w:rsidR="005460FC" w14:paraId="7A15AA03" w14:textId="77777777" w:rsidTr="005460FC">
        <w:tc>
          <w:tcPr>
            <w:tcW w:w="817" w:type="dxa"/>
            <w:tcBorders>
              <w:top w:val="single" w:sz="4" w:space="0" w:color="auto"/>
              <w:left w:val="single" w:sz="4" w:space="0" w:color="auto"/>
              <w:bottom w:val="single" w:sz="4" w:space="0" w:color="auto"/>
              <w:right w:val="single" w:sz="4" w:space="0" w:color="auto"/>
            </w:tcBorders>
            <w:hideMark/>
          </w:tcPr>
          <w:p w14:paraId="06C1F49C" w14:textId="77777777" w:rsidR="005460FC" w:rsidRDefault="005460FC">
            <w:pPr>
              <w:spacing w:after="120"/>
              <w:jc w:val="both"/>
              <w:rPr>
                <w:rFonts w:asciiTheme="minorHAnsi" w:hAnsiTheme="minorHAnsi"/>
                <w:sz w:val="22"/>
                <w:szCs w:val="22"/>
              </w:rPr>
            </w:pPr>
            <w:r>
              <w:rPr>
                <w:rFonts w:asciiTheme="minorHAnsi" w:hAnsiTheme="minorHAnsi"/>
                <w:sz w:val="22"/>
                <w:szCs w:val="22"/>
              </w:rPr>
              <w:t>14.</w:t>
            </w:r>
          </w:p>
        </w:tc>
        <w:tc>
          <w:tcPr>
            <w:tcW w:w="3827" w:type="dxa"/>
            <w:tcBorders>
              <w:top w:val="single" w:sz="4" w:space="0" w:color="auto"/>
              <w:left w:val="single" w:sz="4" w:space="0" w:color="auto"/>
              <w:bottom w:val="single" w:sz="4" w:space="0" w:color="auto"/>
              <w:right w:val="single" w:sz="4" w:space="0" w:color="auto"/>
            </w:tcBorders>
          </w:tcPr>
          <w:p w14:paraId="59D1C915" w14:textId="77777777" w:rsidR="005460FC" w:rsidRDefault="005460FC">
            <w:pPr>
              <w:widowControl w:val="0"/>
              <w:spacing w:after="120"/>
              <w:ind w:right="-2"/>
              <w:jc w:val="both"/>
              <w:rPr>
                <w:rFonts w:asciiTheme="minorHAnsi" w:hAnsiTheme="minorHAnsi"/>
                <w:snapToGrid w:val="0"/>
                <w:color w:val="FF0000"/>
                <w:sz w:val="22"/>
                <w:szCs w:val="22"/>
              </w:rPr>
            </w:pPr>
            <w:r>
              <w:rPr>
                <w:rFonts w:asciiTheme="minorHAnsi" w:hAnsiTheme="minorHAnsi"/>
                <w:snapToGrid w:val="0"/>
                <w:sz w:val="22"/>
                <w:szCs w:val="22"/>
              </w:rPr>
              <w:t xml:space="preserve">Každý originální účetní doklad musí obsahovat registrační číslo projektu. </w:t>
            </w:r>
          </w:p>
          <w:p w14:paraId="601C153E" w14:textId="77777777" w:rsidR="005460FC" w:rsidRDefault="005460FC">
            <w:pPr>
              <w:spacing w:after="120"/>
              <w:jc w:val="both"/>
              <w:rPr>
                <w:rFonts w:asciiTheme="minorHAnsi" w:hAnsiTheme="minorHAnsi"/>
                <w:sz w:val="22"/>
                <w:szCs w:val="22"/>
              </w:rPr>
            </w:pPr>
          </w:p>
          <w:p w14:paraId="3067C849" w14:textId="77777777" w:rsidR="005460FC" w:rsidRDefault="005460FC">
            <w:pPr>
              <w:spacing w:after="120"/>
              <w:jc w:val="both"/>
              <w:rPr>
                <w:rFonts w:asciiTheme="minorHAnsi" w:hAnsiTheme="minorHAnsi"/>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87B6D6B" w14:textId="1FDAF95A" w:rsidR="005460FC" w:rsidRDefault="005460FC">
            <w:pPr>
              <w:spacing w:after="120"/>
              <w:jc w:val="both"/>
              <w:rPr>
                <w:rFonts w:asciiTheme="minorHAnsi" w:hAnsiTheme="minorHAnsi"/>
                <w:sz w:val="22"/>
                <w:szCs w:val="22"/>
              </w:rPr>
            </w:pPr>
            <w:r>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br/>
              <w:t xml:space="preserve">k nápravě </w:t>
            </w:r>
            <w:r>
              <w:rPr>
                <w:rFonts w:asciiTheme="minorHAnsi" w:hAnsiTheme="minorHAnsi" w:cstheme="minorHAnsi"/>
                <w:sz w:val="22"/>
                <w:szCs w:val="22"/>
                <w:lang w:eastAsia="ar-SA"/>
              </w:rPr>
              <w:lastRenderedPageBreak/>
              <w:t>v dodatečné lhůtě – podle odst. 1, §</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w:t>
            </w:r>
          </w:p>
          <w:p w14:paraId="52214DA1" w14:textId="77777777" w:rsidR="005460FC" w:rsidRDefault="005460FC">
            <w:pPr>
              <w:tabs>
                <w:tab w:val="left" w:pos="899"/>
              </w:tabs>
              <w:spacing w:after="120"/>
              <w:jc w:val="both"/>
              <w:rPr>
                <w:rFonts w:asciiTheme="minorHAnsi" w:hAnsiTheme="minorHAnsi"/>
                <w:sz w:val="22"/>
                <w:szCs w:val="22"/>
              </w:rPr>
            </w:pPr>
            <w:r>
              <w:rPr>
                <w:rFonts w:asciiTheme="minorHAnsi" w:hAnsiTheme="minorHAnsi"/>
                <w:sz w:val="22"/>
                <w:szCs w:val="22"/>
              </w:rPr>
              <w:tab/>
            </w:r>
          </w:p>
        </w:tc>
        <w:tc>
          <w:tcPr>
            <w:tcW w:w="2471" w:type="dxa"/>
            <w:tcBorders>
              <w:top w:val="single" w:sz="4" w:space="0" w:color="auto"/>
              <w:left w:val="single" w:sz="4" w:space="0" w:color="auto"/>
              <w:bottom w:val="single" w:sz="4" w:space="0" w:color="auto"/>
              <w:right w:val="single" w:sz="4" w:space="0" w:color="auto"/>
            </w:tcBorders>
            <w:hideMark/>
          </w:tcPr>
          <w:p w14:paraId="62ABF653"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V případě neprovedení opatření k nápravě ve </w:t>
            </w:r>
            <w:r>
              <w:rPr>
                <w:rFonts w:asciiTheme="minorHAnsi" w:hAnsiTheme="minorHAnsi"/>
                <w:snapToGrid w:val="0"/>
                <w:sz w:val="22"/>
                <w:szCs w:val="22"/>
              </w:rPr>
              <w:lastRenderedPageBreak/>
              <w:t>stanovené lhůtě bude výše procentního odvodu 0,02 % schválené částky k proplacení, maximálně však 10 000,- Kč.</w:t>
            </w:r>
          </w:p>
        </w:tc>
      </w:tr>
      <w:tr w:rsidR="005460FC" w14:paraId="04B109F1" w14:textId="77777777" w:rsidTr="005460FC">
        <w:tc>
          <w:tcPr>
            <w:tcW w:w="817" w:type="dxa"/>
            <w:tcBorders>
              <w:top w:val="single" w:sz="4" w:space="0" w:color="auto"/>
              <w:left w:val="single" w:sz="4" w:space="0" w:color="auto"/>
              <w:bottom w:val="single" w:sz="4" w:space="0" w:color="auto"/>
              <w:right w:val="single" w:sz="4" w:space="0" w:color="auto"/>
            </w:tcBorders>
            <w:hideMark/>
          </w:tcPr>
          <w:p w14:paraId="2C282974" w14:textId="77777777" w:rsidR="005460FC" w:rsidRDefault="005460FC">
            <w:pPr>
              <w:spacing w:after="120"/>
              <w:jc w:val="both"/>
              <w:rPr>
                <w:rFonts w:asciiTheme="minorHAnsi" w:hAnsiTheme="minorHAnsi"/>
                <w:sz w:val="22"/>
                <w:szCs w:val="22"/>
              </w:rPr>
            </w:pPr>
            <w:r>
              <w:rPr>
                <w:rFonts w:asciiTheme="minorHAnsi" w:hAnsiTheme="minorHAnsi"/>
                <w:sz w:val="22"/>
                <w:szCs w:val="22"/>
              </w:rPr>
              <w:lastRenderedPageBreak/>
              <w:t>15.</w:t>
            </w:r>
          </w:p>
        </w:tc>
        <w:tc>
          <w:tcPr>
            <w:tcW w:w="3827" w:type="dxa"/>
            <w:tcBorders>
              <w:top w:val="single" w:sz="4" w:space="0" w:color="auto"/>
              <w:left w:val="single" w:sz="4" w:space="0" w:color="auto"/>
              <w:bottom w:val="single" w:sz="4" w:space="0" w:color="auto"/>
              <w:right w:val="single" w:sz="4" w:space="0" w:color="auto"/>
            </w:tcBorders>
            <w:hideMark/>
          </w:tcPr>
          <w:p w14:paraId="1BCB246E"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 xml:space="preserve">Příjemce 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peněžních prostředků o skutečnostech majících vliv na realizaci projektu, především pak povinnost informovat o jakýchkoli kontrolách a auditech provedených v souvislosti s projektem; dále též povinnost na žádost poskytovatele peněžních prostředků, ŘO IROP, PCO nebo AO poskytnout veškeré informace o výsledcích a kontrolní protokoly z těchto kontrol a auditů. A zároveň vytvořit podmínky k provedení kontroly a poskytnout při provádění kontroly součinnost. </w:t>
            </w:r>
          </w:p>
          <w:p w14:paraId="5B4148E8"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Příjemce je povinen zajistit, aby stejné povinnosti do roku 2028 plnili partneři a dodavatelé, podílející se na realizaci projektu.</w:t>
            </w:r>
          </w:p>
        </w:tc>
        <w:tc>
          <w:tcPr>
            <w:tcW w:w="1843" w:type="dxa"/>
            <w:tcBorders>
              <w:top w:val="single" w:sz="4" w:space="0" w:color="auto"/>
              <w:left w:val="single" w:sz="4" w:space="0" w:color="auto"/>
              <w:bottom w:val="single" w:sz="4" w:space="0" w:color="auto"/>
              <w:right w:val="single" w:sz="4" w:space="0" w:color="auto"/>
            </w:tcBorders>
          </w:tcPr>
          <w:p w14:paraId="7296C7EA"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Není možné.</w:t>
            </w:r>
          </w:p>
          <w:p w14:paraId="1D8061D5" w14:textId="77777777" w:rsidR="005460FC" w:rsidRDefault="005460FC">
            <w:pPr>
              <w:widowControl w:val="0"/>
              <w:spacing w:after="120"/>
              <w:ind w:right="-2"/>
              <w:jc w:val="both"/>
              <w:rPr>
                <w:rFonts w:asciiTheme="minorHAnsi" w:hAnsiTheme="minorHAnsi"/>
                <w:snapToGrid w:val="0"/>
                <w:sz w:val="22"/>
                <w:szCs w:val="22"/>
              </w:rPr>
            </w:pPr>
          </w:p>
        </w:tc>
        <w:tc>
          <w:tcPr>
            <w:tcW w:w="2471" w:type="dxa"/>
            <w:tcBorders>
              <w:top w:val="single" w:sz="4" w:space="0" w:color="auto"/>
              <w:left w:val="single" w:sz="4" w:space="0" w:color="auto"/>
              <w:bottom w:val="single" w:sz="4" w:space="0" w:color="auto"/>
              <w:right w:val="single" w:sz="4" w:space="0" w:color="auto"/>
            </w:tcBorders>
          </w:tcPr>
          <w:p w14:paraId="6135EBBD"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procentního odvodu bude 0,2 % ze schválené částky k proplacení nebo z částky již vyplacených peněžních prostředků za etapu, ve které došlo k porušení; maximálně však 20 000,- Kč.</w:t>
            </w:r>
          </w:p>
          <w:p w14:paraId="6CA196D0" w14:textId="77777777" w:rsidR="005460FC" w:rsidRDefault="005460FC">
            <w:pPr>
              <w:widowControl w:val="0"/>
              <w:spacing w:after="120"/>
              <w:jc w:val="both"/>
              <w:rPr>
                <w:rFonts w:asciiTheme="minorHAnsi" w:hAnsiTheme="minorHAnsi"/>
                <w:snapToGrid w:val="0"/>
                <w:sz w:val="22"/>
                <w:szCs w:val="22"/>
              </w:rPr>
            </w:pPr>
          </w:p>
          <w:p w14:paraId="0E238BA6" w14:textId="77777777" w:rsidR="005460FC" w:rsidRDefault="005460FC">
            <w:pPr>
              <w:spacing w:after="120"/>
              <w:jc w:val="both"/>
              <w:rPr>
                <w:rFonts w:asciiTheme="minorHAnsi" w:hAnsiTheme="minorHAnsi"/>
                <w:sz w:val="22"/>
                <w:szCs w:val="22"/>
              </w:rPr>
            </w:pPr>
          </w:p>
        </w:tc>
      </w:tr>
      <w:tr w:rsidR="005460FC" w14:paraId="37DABE30" w14:textId="77777777" w:rsidTr="005460FC">
        <w:tc>
          <w:tcPr>
            <w:tcW w:w="817" w:type="dxa"/>
            <w:tcBorders>
              <w:top w:val="single" w:sz="4" w:space="0" w:color="auto"/>
              <w:left w:val="single" w:sz="4" w:space="0" w:color="auto"/>
              <w:bottom w:val="single" w:sz="4" w:space="0" w:color="auto"/>
              <w:right w:val="single" w:sz="4" w:space="0" w:color="auto"/>
            </w:tcBorders>
            <w:hideMark/>
          </w:tcPr>
          <w:p w14:paraId="16D72397" w14:textId="77777777" w:rsidR="005460FC" w:rsidRDefault="005460FC">
            <w:pPr>
              <w:spacing w:after="120"/>
              <w:jc w:val="both"/>
              <w:rPr>
                <w:rFonts w:asciiTheme="minorHAnsi" w:hAnsiTheme="minorHAnsi"/>
                <w:sz w:val="22"/>
                <w:szCs w:val="22"/>
              </w:rPr>
            </w:pPr>
            <w:r>
              <w:rPr>
                <w:rFonts w:asciiTheme="minorHAnsi" w:hAnsiTheme="minorHAnsi"/>
                <w:sz w:val="22"/>
                <w:szCs w:val="22"/>
              </w:rPr>
              <w:t>16.</w:t>
            </w:r>
          </w:p>
        </w:tc>
        <w:tc>
          <w:tcPr>
            <w:tcW w:w="3827" w:type="dxa"/>
            <w:tcBorders>
              <w:top w:val="single" w:sz="4" w:space="0" w:color="auto"/>
              <w:left w:val="single" w:sz="4" w:space="0" w:color="auto"/>
              <w:bottom w:val="single" w:sz="4" w:space="0" w:color="auto"/>
              <w:right w:val="single" w:sz="4" w:space="0" w:color="auto"/>
            </w:tcBorders>
            <w:hideMark/>
          </w:tcPr>
          <w:p w14:paraId="567D24CE" w14:textId="77777777" w:rsidR="005460FC" w:rsidRDefault="005460FC">
            <w:pPr>
              <w:pStyle w:val="Textkomente"/>
              <w:spacing w:after="120"/>
              <w:jc w:val="both"/>
              <w:rPr>
                <w:rFonts w:asciiTheme="minorHAnsi" w:hAnsiTheme="minorHAnsi"/>
                <w:snapToGrid w:val="0"/>
                <w:sz w:val="22"/>
                <w:szCs w:val="22"/>
              </w:rPr>
            </w:pPr>
            <w:r>
              <w:rPr>
                <w:rFonts w:asciiTheme="minorHAnsi" w:hAnsiTheme="minorHAnsi"/>
                <w:snapToGrid w:val="0"/>
                <w:sz w:val="22"/>
                <w:szCs w:val="22"/>
              </w:rPr>
              <w:t>Příjemce, který vede účetnictví podle</w:t>
            </w:r>
            <w:r>
              <w:rPr>
                <w:rFonts w:asciiTheme="minorHAnsi" w:hAnsiTheme="minorHAnsi"/>
                <w:sz w:val="22"/>
                <w:szCs w:val="22"/>
              </w:rPr>
              <w:t xml:space="preserve"> zákona č. 563/1991 Sb., o účetnictví, je povinen vést účetnictví způsobem, který zajistí jednoznačné přiřazení jejich příjmů a výdajů.</w:t>
            </w:r>
          </w:p>
          <w:p w14:paraId="19F9E195" w14:textId="77777777" w:rsidR="005460FC" w:rsidRDefault="005460FC">
            <w:pPr>
              <w:pStyle w:val="Textkomente"/>
              <w:spacing w:before="240" w:after="120"/>
              <w:jc w:val="both"/>
              <w:rPr>
                <w:rFonts w:asciiTheme="minorHAnsi" w:hAnsiTheme="minorHAnsi"/>
                <w:snapToGrid w:val="0"/>
                <w:sz w:val="22"/>
                <w:szCs w:val="22"/>
              </w:rPr>
            </w:pPr>
            <w:r>
              <w:rPr>
                <w:rFonts w:asciiTheme="minorHAnsi" w:hAnsiTheme="minorHAnsi"/>
                <w:snapToGrid w:val="0"/>
                <w:sz w:val="22"/>
                <w:szCs w:val="22"/>
              </w:rPr>
              <w:t xml:space="preserve">Příjemce, který nevede účetnictví podle tohoto zákona, je povinen vést </w:t>
            </w:r>
            <w:r>
              <w:rPr>
                <w:rFonts w:asciiTheme="minorHAnsi" w:hAnsiTheme="minorHAnsi"/>
                <w:snapToGrid w:val="0"/>
                <w:sz w:val="22"/>
                <w:szCs w:val="22"/>
              </w:rPr>
              <w:lastRenderedPageBreak/>
              <w:t>v případě poskytnutí peněžních prostředků ze SF daňovou evidenci podle zákona č. 586/1992 Sb., o daních z příjmů, ve znění dalších předpisů, rozšířenou o požadavky:</w:t>
            </w:r>
          </w:p>
          <w:p w14:paraId="224FD671" w14:textId="77777777" w:rsidR="005460FC" w:rsidRDefault="005460FC" w:rsidP="005460FC">
            <w:pPr>
              <w:numPr>
                <w:ilvl w:val="0"/>
                <w:numId w:val="44"/>
              </w:numPr>
              <w:spacing w:after="120"/>
              <w:ind w:left="714" w:hanging="357"/>
              <w:jc w:val="both"/>
              <w:rPr>
                <w:rFonts w:asciiTheme="minorHAnsi" w:hAnsiTheme="minorHAnsi"/>
                <w:snapToGrid w:val="0"/>
                <w:sz w:val="22"/>
                <w:szCs w:val="22"/>
              </w:rPr>
            </w:pPr>
            <w:r>
              <w:rPr>
                <w:rFonts w:asciiTheme="minorHAnsi" w:hAnsiTheme="minorHAnsi"/>
                <w:color w:val="000000"/>
                <w:sz w:val="22"/>
                <w:szCs w:val="22"/>
              </w:rPr>
              <w:t xml:space="preserve">příslušný doklad musí splňovat předepsané náležitosti účetního dokladu ve smyslu § 11 zákona o účetnictví (s výjimkou bodu f) pro subjekty, které nevedou účetnictví, ale daňovou evidenci); </w:t>
            </w:r>
          </w:p>
          <w:p w14:paraId="6BE26133" w14:textId="77777777" w:rsidR="005460FC" w:rsidRDefault="005460FC" w:rsidP="005460FC">
            <w:pPr>
              <w:numPr>
                <w:ilvl w:val="0"/>
                <w:numId w:val="44"/>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předmětné doklady musí být správné, úplné, průkazné, srozumitelné a průběžně chronologicky vedené způsobem zaručujícím jejich trvalost;</w:t>
            </w:r>
          </w:p>
          <w:p w14:paraId="66B7CB8D" w14:textId="77777777" w:rsidR="005460FC" w:rsidRDefault="005460FC" w:rsidP="005460FC">
            <w:pPr>
              <w:numPr>
                <w:ilvl w:val="0"/>
                <w:numId w:val="44"/>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při kontrole příjemce poskytne na vyžádání kontrolnímu orgánu daňovou evidenci v plném rozsahu;</w:t>
            </w:r>
          </w:p>
          <w:p w14:paraId="3408BAF6" w14:textId="77777777" w:rsidR="005460FC" w:rsidRDefault="005460FC" w:rsidP="005460FC">
            <w:pPr>
              <w:pStyle w:val="Odstavecseseznamem"/>
              <w:numPr>
                <w:ilvl w:val="0"/>
                <w:numId w:val="44"/>
              </w:numPr>
              <w:spacing w:after="120"/>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843" w:type="dxa"/>
            <w:tcBorders>
              <w:top w:val="single" w:sz="4" w:space="0" w:color="auto"/>
              <w:left w:val="single" w:sz="4" w:space="0" w:color="auto"/>
              <w:bottom w:val="single" w:sz="4" w:space="0" w:color="auto"/>
              <w:right w:val="single" w:sz="4" w:space="0" w:color="auto"/>
            </w:tcBorders>
            <w:hideMark/>
          </w:tcPr>
          <w:p w14:paraId="4DF947EF" w14:textId="1422DF0C" w:rsidR="005460FC" w:rsidRDefault="005460FC" w:rsidP="00E84FA3">
            <w:pPr>
              <w:spacing w:after="120"/>
              <w:jc w:val="both"/>
              <w:rPr>
                <w:rFonts w:asciiTheme="minorHAnsi" w:hAnsiTheme="minorHAnsi"/>
                <w:snapToGrid w:val="0"/>
                <w:sz w:val="22"/>
                <w:szCs w:val="22"/>
              </w:rPr>
            </w:pPr>
            <w:r>
              <w:rPr>
                <w:rFonts w:asciiTheme="minorHAnsi" w:hAnsiTheme="minorHAnsi" w:cstheme="minorHAnsi"/>
                <w:sz w:val="22"/>
                <w:szCs w:val="22"/>
                <w:lang w:eastAsia="ar-SA"/>
              </w:rPr>
              <w:lastRenderedPageBreak/>
              <w:t>Vyzvání k nápravě v dodatečné lhůtě – podle odst. 1, §</w:t>
            </w:r>
            <w:r w:rsidR="00E84FA3">
              <w:rPr>
                <w:rFonts w:asciiTheme="minorHAnsi" w:hAnsiTheme="minorHAnsi" w:cstheme="minorHAnsi"/>
                <w:sz w:val="22"/>
                <w:szCs w:val="22"/>
                <w:lang w:eastAsia="ar-SA"/>
              </w:rPr>
              <w:t> </w:t>
            </w:r>
            <w:r>
              <w:rPr>
                <w:rFonts w:asciiTheme="minorHAnsi" w:hAnsiTheme="minorHAnsi" w:cstheme="minorHAnsi"/>
                <w:sz w:val="22"/>
                <w:szCs w:val="22"/>
                <w:lang w:eastAsia="ar-SA"/>
              </w:rPr>
              <w:t>14f zákona č. 218/2000 Sb., o rozpočtových pravidlech.</w:t>
            </w:r>
          </w:p>
        </w:tc>
        <w:tc>
          <w:tcPr>
            <w:tcW w:w="2471" w:type="dxa"/>
            <w:tcBorders>
              <w:top w:val="single" w:sz="4" w:space="0" w:color="auto"/>
              <w:left w:val="single" w:sz="4" w:space="0" w:color="auto"/>
              <w:bottom w:val="single" w:sz="4" w:space="0" w:color="auto"/>
              <w:right w:val="single" w:sz="4" w:space="0" w:color="auto"/>
            </w:tcBorders>
          </w:tcPr>
          <w:p w14:paraId="6F496A1F"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výše procentního odvodu 0,2 % schválené částky k proplacení; maximálně však 20 000,- Kč.</w:t>
            </w:r>
          </w:p>
          <w:p w14:paraId="6E792058" w14:textId="77777777" w:rsidR="005460FC" w:rsidRDefault="005460FC">
            <w:pPr>
              <w:widowControl w:val="0"/>
              <w:spacing w:after="120"/>
              <w:jc w:val="both"/>
              <w:rPr>
                <w:rFonts w:asciiTheme="minorHAnsi" w:hAnsiTheme="minorHAnsi"/>
                <w:sz w:val="22"/>
                <w:szCs w:val="22"/>
              </w:rPr>
            </w:pPr>
          </w:p>
        </w:tc>
      </w:tr>
      <w:tr w:rsidR="005460FC" w14:paraId="14791B91" w14:textId="77777777" w:rsidTr="005460FC">
        <w:tc>
          <w:tcPr>
            <w:tcW w:w="817" w:type="dxa"/>
            <w:tcBorders>
              <w:top w:val="single" w:sz="4" w:space="0" w:color="auto"/>
              <w:left w:val="single" w:sz="4" w:space="0" w:color="auto"/>
              <w:bottom w:val="single" w:sz="4" w:space="0" w:color="auto"/>
              <w:right w:val="single" w:sz="4" w:space="0" w:color="auto"/>
            </w:tcBorders>
            <w:hideMark/>
          </w:tcPr>
          <w:p w14:paraId="5DBF18C5" w14:textId="77777777" w:rsidR="005460FC" w:rsidRDefault="005460FC">
            <w:pPr>
              <w:spacing w:after="120"/>
              <w:jc w:val="both"/>
              <w:rPr>
                <w:rFonts w:asciiTheme="minorHAnsi" w:hAnsiTheme="minorHAnsi"/>
                <w:sz w:val="22"/>
                <w:szCs w:val="22"/>
              </w:rPr>
            </w:pPr>
            <w:r>
              <w:rPr>
                <w:rFonts w:asciiTheme="minorHAnsi" w:hAnsiTheme="minorHAnsi"/>
                <w:sz w:val="22"/>
                <w:szCs w:val="22"/>
              </w:rPr>
              <w:lastRenderedPageBreak/>
              <w:t>17.</w:t>
            </w:r>
          </w:p>
        </w:tc>
        <w:tc>
          <w:tcPr>
            <w:tcW w:w="3827" w:type="dxa"/>
            <w:tcBorders>
              <w:top w:val="single" w:sz="4" w:space="0" w:color="auto"/>
              <w:left w:val="single" w:sz="4" w:space="0" w:color="auto"/>
              <w:bottom w:val="single" w:sz="4" w:space="0" w:color="auto"/>
              <w:right w:val="single" w:sz="4" w:space="0" w:color="auto"/>
            </w:tcBorders>
            <w:hideMark/>
          </w:tcPr>
          <w:p w14:paraId="07261589"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Příjemce nesmí na jednotlivé výdaje projektu, hrazené z IROP,</w:t>
            </w:r>
            <w:r>
              <w:rPr>
                <w:rFonts w:asciiTheme="minorHAnsi" w:hAnsiTheme="minorHAnsi"/>
                <w:snapToGrid w:val="0"/>
                <w:color w:val="FF0000"/>
                <w:sz w:val="22"/>
                <w:szCs w:val="22"/>
              </w:rPr>
              <w:t xml:space="preserve"> </w:t>
            </w:r>
            <w:r>
              <w:rPr>
                <w:rFonts w:asciiTheme="minorHAnsi" w:hAnsiTheme="minorHAnsi"/>
                <w:snapToGrid w:val="0"/>
                <w:sz w:val="22"/>
                <w:szCs w:val="22"/>
              </w:rPr>
              <w:t>čerpat finanční prostředky z</w:t>
            </w:r>
            <w:r>
              <w:rPr>
                <w:rFonts w:asciiTheme="minorHAnsi" w:hAnsiTheme="minorHAnsi"/>
                <w:snapToGrid w:val="0"/>
                <w:color w:val="FF0000"/>
                <w:sz w:val="22"/>
                <w:szCs w:val="22"/>
              </w:rPr>
              <w:t xml:space="preserve"> </w:t>
            </w:r>
            <w:r>
              <w:rPr>
                <w:rFonts w:asciiTheme="minorHAnsi" w:hAnsiTheme="minorHAnsi"/>
                <w:snapToGrid w:val="0"/>
                <w:sz w:val="22"/>
                <w:szCs w:val="22"/>
              </w:rPr>
              <w:t>jiného dotačního titulu, jiného</w:t>
            </w:r>
            <w:r>
              <w:rPr>
                <w:rFonts w:asciiTheme="minorHAnsi" w:hAnsiTheme="minorHAnsi"/>
                <w:snapToGrid w:val="0"/>
                <w:color w:val="FF0000"/>
                <w:sz w:val="22"/>
                <w:szCs w:val="22"/>
              </w:rPr>
              <w:t xml:space="preserve"> </w:t>
            </w:r>
            <w:r>
              <w:rPr>
                <w:rFonts w:asciiTheme="minorHAnsi" w:hAnsiTheme="minorHAnsi"/>
                <w:snapToGrid w:val="0"/>
                <w:sz w:val="22"/>
                <w:szCs w:val="22"/>
              </w:rPr>
              <w:t>operačního programu,</w:t>
            </w:r>
            <w:r>
              <w:rPr>
                <w:rFonts w:asciiTheme="minorHAnsi" w:hAnsiTheme="minorHAnsi"/>
                <w:snapToGrid w:val="0"/>
                <w:color w:val="FF0000"/>
                <w:sz w:val="22"/>
                <w:szCs w:val="22"/>
              </w:rPr>
              <w:t xml:space="preserve"> </w:t>
            </w:r>
            <w:r>
              <w:rPr>
                <w:rFonts w:asciiTheme="minorHAnsi" w:hAnsiTheme="minorHAnsi"/>
                <w:snapToGrid w:val="0"/>
                <w:sz w:val="22"/>
                <w:szCs w:val="22"/>
              </w:rPr>
              <w:t>jiných prostředků krytých z rozpočtu EU a národních veřejných rozpočtů, krajských dotačních titulů, ani z jiných finančních mechanismů nebo nástrojů finančního inženýrství.</w:t>
            </w:r>
          </w:p>
        </w:tc>
        <w:tc>
          <w:tcPr>
            <w:tcW w:w="1843" w:type="dxa"/>
            <w:tcBorders>
              <w:top w:val="single" w:sz="4" w:space="0" w:color="auto"/>
              <w:left w:val="single" w:sz="4" w:space="0" w:color="auto"/>
              <w:bottom w:val="single" w:sz="4" w:space="0" w:color="auto"/>
              <w:right w:val="single" w:sz="4" w:space="0" w:color="auto"/>
            </w:tcBorders>
            <w:hideMark/>
          </w:tcPr>
          <w:p w14:paraId="5B14E5AF" w14:textId="77777777" w:rsidR="005460FC" w:rsidRDefault="005460FC">
            <w:pPr>
              <w:widowControl w:val="0"/>
              <w:spacing w:after="120"/>
              <w:ind w:right="-2"/>
              <w:jc w:val="both"/>
              <w:rPr>
                <w:rFonts w:asciiTheme="minorHAnsi" w:hAnsiTheme="minorHAnsi"/>
                <w:snapToGrid w:val="0"/>
                <w:sz w:val="22"/>
                <w:szCs w:val="22"/>
              </w:rPr>
            </w:pPr>
            <w:r>
              <w:rPr>
                <w:rFonts w:asciiTheme="minorHAnsi" w:hAnsiTheme="minorHAnsi"/>
                <w:sz w:val="22"/>
                <w:szCs w:val="22"/>
              </w:rPr>
              <w:t>Není možné</w:t>
            </w:r>
            <w:r>
              <w:t>.</w:t>
            </w:r>
          </w:p>
        </w:tc>
        <w:tc>
          <w:tcPr>
            <w:tcW w:w="2471" w:type="dxa"/>
            <w:tcBorders>
              <w:top w:val="single" w:sz="4" w:space="0" w:color="auto"/>
              <w:left w:val="single" w:sz="4" w:space="0" w:color="auto"/>
              <w:bottom w:val="single" w:sz="4" w:space="0" w:color="auto"/>
              <w:right w:val="single" w:sz="4" w:space="0" w:color="auto"/>
            </w:tcBorders>
            <w:hideMark/>
          </w:tcPr>
          <w:p w14:paraId="4BBC5E43" w14:textId="77777777" w:rsidR="005460FC" w:rsidRDefault="005460FC">
            <w:pPr>
              <w:spacing w:after="120"/>
              <w:jc w:val="both"/>
              <w:rPr>
                <w:rFonts w:asciiTheme="minorHAnsi" w:hAnsiTheme="minorHAnsi"/>
                <w:sz w:val="22"/>
                <w:szCs w:val="22"/>
              </w:rPr>
            </w:pPr>
            <w:r>
              <w:rPr>
                <w:rFonts w:asciiTheme="minorHAnsi" w:hAnsiTheme="minorHAnsi"/>
                <w:snapToGrid w:val="0"/>
                <w:sz w:val="22"/>
                <w:szCs w:val="22"/>
              </w:rPr>
              <w:t>Peněžní prostředky nebudou vyplaceny ve výši výdaje, který již byl uhrazen z jiného dotačního titulu, jiného operačního programu, jiných prostředků krytých z rozpočtu EU a národních veřejných rozpočtů, krajských dotačních titulů, ani z jiných finančních mechanismů nebo nástrojů finančního inženýrství.</w:t>
            </w:r>
          </w:p>
        </w:tc>
      </w:tr>
      <w:tr w:rsidR="005460FC" w14:paraId="6AD4CBE2" w14:textId="77777777" w:rsidTr="005460FC">
        <w:trPr>
          <w:trHeight w:val="757"/>
        </w:trPr>
        <w:tc>
          <w:tcPr>
            <w:tcW w:w="817" w:type="dxa"/>
            <w:vMerge w:val="restart"/>
            <w:tcBorders>
              <w:top w:val="single" w:sz="4" w:space="0" w:color="auto"/>
              <w:left w:val="single" w:sz="4" w:space="0" w:color="auto"/>
              <w:bottom w:val="single" w:sz="4" w:space="0" w:color="auto"/>
              <w:right w:val="single" w:sz="4" w:space="0" w:color="auto"/>
            </w:tcBorders>
            <w:hideMark/>
          </w:tcPr>
          <w:p w14:paraId="05233A62" w14:textId="77777777" w:rsidR="005460FC" w:rsidRDefault="005460FC">
            <w:pPr>
              <w:spacing w:after="120"/>
              <w:jc w:val="both"/>
              <w:rPr>
                <w:rFonts w:asciiTheme="minorHAnsi" w:hAnsiTheme="minorHAnsi"/>
                <w:sz w:val="22"/>
                <w:szCs w:val="22"/>
              </w:rPr>
            </w:pPr>
            <w:r>
              <w:rPr>
                <w:rFonts w:asciiTheme="minorHAnsi" w:hAnsiTheme="minorHAnsi"/>
                <w:sz w:val="22"/>
                <w:szCs w:val="22"/>
              </w:rPr>
              <w:t>18.</w:t>
            </w:r>
          </w:p>
        </w:tc>
        <w:tc>
          <w:tcPr>
            <w:tcW w:w="3827" w:type="dxa"/>
            <w:tcBorders>
              <w:top w:val="single" w:sz="4" w:space="0" w:color="auto"/>
              <w:left w:val="single" w:sz="4" w:space="0" w:color="auto"/>
              <w:bottom w:val="single" w:sz="4" w:space="0" w:color="auto"/>
              <w:right w:val="single" w:sz="4" w:space="0" w:color="auto"/>
            </w:tcBorders>
            <w:hideMark/>
          </w:tcPr>
          <w:p w14:paraId="338377A0" w14:textId="77777777" w:rsidR="005460FC" w:rsidRDefault="005460FC">
            <w:pPr>
              <w:spacing w:after="120"/>
              <w:jc w:val="both"/>
              <w:rPr>
                <w:rFonts w:asciiTheme="minorHAnsi" w:hAnsiTheme="minorHAnsi"/>
                <w:snapToGrid w:val="0"/>
                <w:sz w:val="22"/>
                <w:szCs w:val="22"/>
              </w:rPr>
            </w:pPr>
            <w:r>
              <w:rPr>
                <w:rFonts w:asciiTheme="minorHAnsi" w:hAnsiTheme="minorHAnsi"/>
                <w:snapToGrid w:val="0"/>
                <w:sz w:val="22"/>
                <w:szCs w:val="22"/>
              </w:rPr>
              <w:t xml:space="preserve">Příjemce je povinen zajistit publicitu prostředků strukturálních fondů na financování projektu v souladu s pravidly pro provádění informačních a propagačních opatření, která jsou </w:t>
            </w:r>
            <w:r>
              <w:rPr>
                <w:rFonts w:asciiTheme="minorHAnsi" w:hAnsiTheme="minorHAnsi"/>
                <w:snapToGrid w:val="0"/>
                <w:sz w:val="22"/>
                <w:szCs w:val="22"/>
              </w:rPr>
              <w:lastRenderedPageBreak/>
              <w:t xml:space="preserve">součástí Pravidel pro žadatele a příjemce v Operačním programu IROP: </w:t>
            </w:r>
          </w:p>
        </w:tc>
        <w:tc>
          <w:tcPr>
            <w:tcW w:w="1843" w:type="dxa"/>
            <w:tcBorders>
              <w:top w:val="single" w:sz="4" w:space="0" w:color="auto"/>
              <w:left w:val="single" w:sz="4" w:space="0" w:color="auto"/>
              <w:bottom w:val="single" w:sz="4" w:space="0" w:color="auto"/>
              <w:right w:val="single" w:sz="4" w:space="0" w:color="auto"/>
            </w:tcBorders>
          </w:tcPr>
          <w:p w14:paraId="55910D8A" w14:textId="77777777" w:rsidR="005460FC" w:rsidRDefault="005460FC">
            <w:pPr>
              <w:widowControl w:val="0"/>
              <w:spacing w:after="120"/>
              <w:jc w:val="both"/>
              <w:rPr>
                <w:rFonts w:asciiTheme="minorHAnsi" w:hAnsiTheme="minorHAnsi"/>
                <w:snapToGrid w:val="0"/>
                <w:sz w:val="22"/>
                <w:szCs w:val="22"/>
              </w:rPr>
            </w:pPr>
          </w:p>
        </w:tc>
        <w:tc>
          <w:tcPr>
            <w:tcW w:w="2471" w:type="dxa"/>
            <w:tcBorders>
              <w:top w:val="single" w:sz="4" w:space="0" w:color="auto"/>
              <w:left w:val="single" w:sz="4" w:space="0" w:color="auto"/>
              <w:bottom w:val="single" w:sz="4" w:space="0" w:color="auto"/>
              <w:right w:val="single" w:sz="4" w:space="0" w:color="auto"/>
            </w:tcBorders>
          </w:tcPr>
          <w:p w14:paraId="38C14DDC" w14:textId="77777777" w:rsidR="005460FC" w:rsidRDefault="005460FC">
            <w:pPr>
              <w:widowControl w:val="0"/>
              <w:spacing w:after="120"/>
              <w:jc w:val="both"/>
              <w:rPr>
                <w:rFonts w:asciiTheme="minorHAnsi" w:hAnsiTheme="minorHAnsi"/>
                <w:snapToGrid w:val="0"/>
                <w:sz w:val="22"/>
                <w:szCs w:val="22"/>
              </w:rPr>
            </w:pPr>
          </w:p>
        </w:tc>
      </w:tr>
      <w:tr w:rsidR="005460FC" w14:paraId="0B64502F" w14:textId="77777777" w:rsidTr="005460FC">
        <w:trPr>
          <w:trHeight w:val="756"/>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009E8A93" w14:textId="77777777" w:rsidR="005460FC" w:rsidRDefault="005460FC">
            <w:pPr>
              <w:rPr>
                <w:rFonts w:asciiTheme="minorHAnsi" w:hAnsiTheme="minorHAnsi"/>
                <w:sz w:val="22"/>
                <w:szCs w:val="22"/>
              </w:rPr>
            </w:pPr>
          </w:p>
        </w:tc>
        <w:tc>
          <w:tcPr>
            <w:tcW w:w="3827" w:type="dxa"/>
            <w:tcBorders>
              <w:top w:val="single" w:sz="4" w:space="0" w:color="auto"/>
              <w:left w:val="single" w:sz="4" w:space="0" w:color="auto"/>
              <w:bottom w:val="single" w:sz="4" w:space="0" w:color="auto"/>
              <w:right w:val="single" w:sz="4" w:space="0" w:color="auto"/>
            </w:tcBorders>
          </w:tcPr>
          <w:p w14:paraId="5D36EB6A" w14:textId="77777777" w:rsidR="005460FC" w:rsidRDefault="005460FC" w:rsidP="005460FC">
            <w:pPr>
              <w:pStyle w:val="Odstavecseseznamem"/>
              <w:widowControl w:val="0"/>
              <w:numPr>
                <w:ilvl w:val="0"/>
                <w:numId w:val="45"/>
              </w:numPr>
              <w:spacing w:after="120"/>
              <w:jc w:val="both"/>
              <w:rPr>
                <w:rFonts w:asciiTheme="minorHAnsi" w:hAnsiTheme="minorHAnsi"/>
                <w:snapToGrid w:val="0"/>
                <w:sz w:val="22"/>
                <w:szCs w:val="22"/>
              </w:rPr>
            </w:pPr>
            <w:r>
              <w:rPr>
                <w:rFonts w:asciiTheme="minorHAnsi" w:hAnsiTheme="minorHAnsi"/>
                <w:snapToGrid w:val="0"/>
                <w:sz w:val="22"/>
                <w:szCs w:val="22"/>
              </w:rPr>
              <w:t>povinné nástroje,</w:t>
            </w:r>
          </w:p>
          <w:p w14:paraId="1EF21C53" w14:textId="77777777" w:rsidR="005460FC" w:rsidRDefault="005460FC">
            <w:pPr>
              <w:widowControl w:val="0"/>
              <w:spacing w:after="120"/>
              <w:jc w:val="both"/>
              <w:rPr>
                <w:rFonts w:asciiTheme="minorHAnsi" w:hAnsiTheme="minorHAnsi"/>
                <w:snapToGrid w:val="0"/>
                <w:sz w:val="22"/>
                <w:szCs w:val="22"/>
              </w:rPr>
            </w:pPr>
          </w:p>
          <w:p w14:paraId="493560C9"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odvodů, ale bude uplatněn odvod za nejzávažnější z pochybení.</w:t>
            </w:r>
          </w:p>
        </w:tc>
        <w:tc>
          <w:tcPr>
            <w:tcW w:w="1843" w:type="dxa"/>
            <w:tcBorders>
              <w:top w:val="single" w:sz="4" w:space="0" w:color="auto"/>
              <w:left w:val="single" w:sz="4" w:space="0" w:color="auto"/>
              <w:bottom w:val="single" w:sz="4" w:space="0" w:color="auto"/>
              <w:right w:val="single" w:sz="4" w:space="0" w:color="auto"/>
            </w:tcBorders>
            <w:hideMark/>
          </w:tcPr>
          <w:p w14:paraId="1FCEE78C" w14:textId="70B73FF4" w:rsidR="005460FC" w:rsidRDefault="005460FC">
            <w:pPr>
              <w:pStyle w:val="Odstavecseseznamem"/>
              <w:widowControl w:val="0"/>
              <w:spacing w:after="120"/>
              <w:ind w:left="34"/>
              <w:jc w:val="both"/>
              <w:rPr>
                <w:rFonts w:asciiTheme="minorHAnsi" w:hAnsiTheme="minorHAnsi"/>
                <w:snapToGrid w:val="0"/>
                <w:sz w:val="22"/>
                <w:szCs w:val="22"/>
              </w:rPr>
            </w:pPr>
            <w:r>
              <w:rPr>
                <w:rFonts w:asciiTheme="minorHAnsi" w:hAnsiTheme="minorHAnsi" w:cstheme="minorHAnsi"/>
                <w:sz w:val="22"/>
                <w:szCs w:val="22"/>
                <w:lang w:eastAsia="ar-SA"/>
              </w:rPr>
              <w:t>Vyzvání k nápravě v dodatečné lhůtě – podle odst. 1, §</w:t>
            </w:r>
            <w:r w:rsidR="00E84FA3">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 218/2000 Sb., o rozpočtových pravidlech.</w:t>
            </w:r>
          </w:p>
        </w:tc>
        <w:tc>
          <w:tcPr>
            <w:tcW w:w="2471" w:type="dxa"/>
            <w:tcBorders>
              <w:top w:val="single" w:sz="4" w:space="0" w:color="auto"/>
              <w:left w:val="single" w:sz="4" w:space="0" w:color="auto"/>
              <w:bottom w:val="single" w:sz="4" w:space="0" w:color="auto"/>
              <w:right w:val="single" w:sz="4" w:space="0" w:color="auto"/>
            </w:tcBorders>
            <w:hideMark/>
          </w:tcPr>
          <w:p w14:paraId="5F95A83F" w14:textId="77777777" w:rsidR="005460FC" w:rsidRDefault="005460FC">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výše procentního odvodu 0,1 – 1,2 % schválené částky k proplacení; maximálně však 1 000 000,- Kč.</w:t>
            </w:r>
          </w:p>
        </w:tc>
      </w:tr>
    </w:tbl>
    <w:p w14:paraId="2264BFA4" w14:textId="77777777" w:rsidR="005460FC" w:rsidRDefault="005460FC" w:rsidP="005460FC">
      <w:pPr>
        <w:widowControl w:val="0"/>
        <w:spacing w:after="120"/>
        <w:ind w:right="-2"/>
        <w:jc w:val="both"/>
        <w:rPr>
          <w:snapToGrid w:val="0"/>
        </w:rPr>
      </w:pPr>
    </w:p>
    <w:p w14:paraId="0E18C2A2" w14:textId="77777777" w:rsidR="005460FC" w:rsidRDefault="005460FC" w:rsidP="005460FC">
      <w:pPr>
        <w:pStyle w:val="Prosttext"/>
        <w:numPr>
          <w:ilvl w:val="0"/>
          <w:numId w:val="46"/>
        </w:numPr>
        <w:spacing w:after="240"/>
        <w:jc w:val="both"/>
        <w:rPr>
          <w:rFonts w:asciiTheme="minorHAnsi" w:hAnsiTheme="minorHAnsi"/>
          <w:sz w:val="24"/>
        </w:rPr>
      </w:pPr>
      <w:r>
        <w:rPr>
          <w:rFonts w:asciiTheme="minorHAnsi" w:hAnsiTheme="minorHAnsi"/>
          <w:sz w:val="24"/>
        </w:rPr>
        <w:t xml:space="preserve">Finanční opravy za nedodržení postupu, stanoveného v ZVZ nebo ZZVZ nebo v MPZ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 zohledňují závažnost porušení a zásadu proporcionality. Tyto procentuální sazby finančních oprav se použijí v případech, kdy není možné přesně vyčíslit finanční důsledky pro danou zakázku. Výčet porušení a odpovídajících sazeb finančních oprav je uveden v příloze č. 5 </w:t>
      </w:r>
      <w:r>
        <w:rPr>
          <w:rFonts w:asciiTheme="minorHAnsi" w:hAnsiTheme="minorHAnsi"/>
          <w:i/>
          <w:sz w:val="24"/>
        </w:rPr>
        <w:t>Finanční opravy za nedodržení postupu, stanoveného v ZVZ a v MPZ</w:t>
      </w:r>
      <w:r>
        <w:rPr>
          <w:rFonts w:asciiTheme="minorHAnsi" w:hAnsiTheme="minorHAnsi"/>
          <w:sz w:val="24"/>
        </w:rPr>
        <w:t xml:space="preserve"> v Obecných pravidlech pro žadatele a příjemce.</w:t>
      </w:r>
    </w:p>
    <w:p w14:paraId="66EF8256" w14:textId="77777777" w:rsidR="005460FC" w:rsidRDefault="005460FC" w:rsidP="005460FC">
      <w:pPr>
        <w:pStyle w:val="Prosttext"/>
        <w:spacing w:after="240"/>
        <w:ind w:left="360"/>
        <w:jc w:val="both"/>
        <w:rPr>
          <w:rFonts w:asciiTheme="minorHAnsi" w:hAnsiTheme="minorHAnsi"/>
          <w:sz w:val="24"/>
        </w:rPr>
      </w:pPr>
      <w:r>
        <w:rPr>
          <w:rFonts w:asciiTheme="minorHAnsi" w:hAnsiTheme="minorHAnsi"/>
          <w:sz w:val="24"/>
        </w:rPr>
        <w:t xml:space="preserve">Pokud nedodržení postupu stanoveného </w:t>
      </w:r>
      <w:r>
        <w:rPr>
          <w:rFonts w:asciiTheme="minorHAnsi" w:hAnsiTheme="minorHAnsi" w:cs="Arial"/>
          <w:sz w:val="24"/>
          <w:szCs w:val="24"/>
        </w:rPr>
        <w:t xml:space="preserve">ZVZ, ZZVZ, </w:t>
      </w:r>
      <w:r>
        <w:rPr>
          <w:rFonts w:asciiTheme="minorHAnsi" w:hAnsiTheme="minorHAnsi"/>
          <w:sz w:val="24"/>
        </w:rPr>
        <w:t>MP</w:t>
      </w:r>
      <w:r>
        <w:rPr>
          <w:rFonts w:cs="Arial"/>
        </w:rPr>
        <w:t>Z</w:t>
      </w:r>
      <w:r>
        <w:rPr>
          <w:rFonts w:asciiTheme="minorHAnsi" w:hAnsiTheme="minorHAnsi" w:cs="Arial"/>
          <w:sz w:val="24"/>
          <w:szCs w:val="24"/>
        </w:rPr>
        <w:t xml:space="preserve"> nebo poskytovatelem peněžních prostředků</w:t>
      </w:r>
      <w:r>
        <w:rPr>
          <w:rFonts w:asciiTheme="minorHAnsi" w:hAnsiTheme="minorHAnsi"/>
          <w:sz w:val="24"/>
        </w:rPr>
        <w:t xml:space="preserve"> v rámci jedné zakázky naplňuje znaky více typů finančních oprav, uloží se sazba nejvyšší finanční opravy.</w:t>
      </w:r>
    </w:p>
    <w:p w14:paraId="0D681402" w14:textId="77777777" w:rsidR="005460FC" w:rsidRDefault="005460FC" w:rsidP="005460FC">
      <w:pPr>
        <w:pStyle w:val="Prosttext"/>
        <w:ind w:left="360"/>
        <w:jc w:val="both"/>
        <w:rPr>
          <w:rFonts w:asciiTheme="minorHAnsi" w:hAnsiTheme="minorHAnsi"/>
          <w:sz w:val="24"/>
        </w:rPr>
      </w:pPr>
      <w:r>
        <w:rPr>
          <w:rFonts w:asciiTheme="minorHAnsi" w:hAnsiTheme="minorHAnsi"/>
          <w:sz w:val="24"/>
        </w:rPr>
        <w:t>Pokud je možné přesně vyčíslit finanční vliv na dotčenou zakázku, finanční oprava bude uložena ve výši 100 % přesně vyčísleného finančního vlivu.</w:t>
      </w:r>
    </w:p>
    <w:p w14:paraId="6CD44061" w14:textId="77777777" w:rsidR="005460FC" w:rsidRDefault="005460FC" w:rsidP="005460FC">
      <w:pPr>
        <w:widowControl w:val="0"/>
        <w:spacing w:after="120"/>
        <w:ind w:right="-2"/>
        <w:jc w:val="both"/>
        <w:rPr>
          <w:rFonts w:asciiTheme="minorHAnsi" w:hAnsiTheme="minorHAnsi"/>
          <w:snapToGrid w:val="0"/>
        </w:rPr>
      </w:pPr>
    </w:p>
    <w:p w14:paraId="25B6B729" w14:textId="77777777" w:rsidR="004D2008" w:rsidRPr="00FC5595" w:rsidRDefault="004D2008" w:rsidP="005460FC">
      <w:pPr>
        <w:pStyle w:val="Prosttext"/>
        <w:jc w:val="both"/>
        <w:rPr>
          <w:rFonts w:asciiTheme="minorHAnsi" w:hAnsiTheme="minorHAnsi"/>
          <w:snapToGrid w:val="0"/>
        </w:rPr>
      </w:pPr>
    </w:p>
    <w:sectPr w:rsidR="004D2008" w:rsidRPr="00FC5595" w:rsidSect="00566E0F">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37ED" w14:textId="77777777" w:rsidR="00E1280F" w:rsidRDefault="00E1280F">
      <w:r>
        <w:separator/>
      </w:r>
    </w:p>
  </w:endnote>
  <w:endnote w:type="continuationSeparator" w:id="0">
    <w:p w14:paraId="475A16F5" w14:textId="77777777" w:rsidR="00E1280F" w:rsidRDefault="00E1280F">
      <w:r>
        <w:continuationSeparator/>
      </w:r>
    </w:p>
  </w:endnote>
  <w:endnote w:type="continuationNotice" w:id="1">
    <w:p w14:paraId="4A95F9FC" w14:textId="77777777" w:rsidR="00E1280F" w:rsidRDefault="00E12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AC4E" w14:textId="77777777" w:rsidR="00DE2619" w:rsidRDefault="00DE26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EEA5" w14:textId="3C244A9D" w:rsidR="00D66BC5" w:rsidRPr="00FC5595" w:rsidRDefault="00D66BC5">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D27E05">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D27E05">
      <w:rPr>
        <w:rFonts w:asciiTheme="minorHAnsi" w:hAnsiTheme="minorHAnsi"/>
        <w:noProof/>
        <w:snapToGrid w:val="0"/>
      </w:rPr>
      <w:t>11</w:t>
    </w:r>
    <w:r w:rsidRPr="00FC5595">
      <w:rPr>
        <w:rFonts w:asciiTheme="minorHAnsi" w:hAnsiTheme="minorHAnsi"/>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DE2619" w:rsidRPr="00456D35" w14:paraId="7BBC2412" w14:textId="77777777" w:rsidTr="008E776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380581F7" w14:textId="77777777" w:rsidR="00DE2619" w:rsidRPr="00456D35" w:rsidRDefault="00DE2619" w:rsidP="008E776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657A8BD" w14:textId="77777777" w:rsidR="00DE2619" w:rsidRPr="00456D35" w:rsidRDefault="00DE2619" w:rsidP="008E776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BF1237E" w14:textId="77777777" w:rsidR="00DE2619" w:rsidRPr="00456D35" w:rsidRDefault="00DE2619" w:rsidP="008E776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CEB6187" w14:textId="77777777" w:rsidR="00DE2619" w:rsidRPr="00456D35" w:rsidRDefault="00DE2619" w:rsidP="008E776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D096031" w14:textId="24F1C4D8" w:rsidR="00DE2619" w:rsidRPr="00456D35" w:rsidRDefault="00DE2619" w:rsidP="008E776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D27E05">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D27E05">
            <w:rPr>
              <w:rFonts w:ascii="Arial" w:hAnsi="Arial" w:cs="Arial"/>
              <w:noProof/>
              <w:sz w:val="20"/>
            </w:rPr>
            <w:t>11</w:t>
          </w:r>
          <w:r w:rsidRPr="00456D35">
            <w:rPr>
              <w:rFonts w:ascii="Arial" w:hAnsi="Arial" w:cs="Arial"/>
              <w:sz w:val="20"/>
            </w:rPr>
            <w:fldChar w:fldCharType="end"/>
          </w:r>
        </w:p>
      </w:tc>
    </w:tr>
  </w:tbl>
  <w:p w14:paraId="7BC0B26F" w14:textId="77777777" w:rsidR="00DE2619" w:rsidRDefault="00DE26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FDD00" w14:textId="77777777" w:rsidR="00E1280F" w:rsidRDefault="00E1280F">
      <w:r>
        <w:separator/>
      </w:r>
    </w:p>
  </w:footnote>
  <w:footnote w:type="continuationSeparator" w:id="0">
    <w:p w14:paraId="1D42CA52" w14:textId="77777777" w:rsidR="00E1280F" w:rsidRDefault="00E1280F">
      <w:r>
        <w:continuationSeparator/>
      </w:r>
    </w:p>
  </w:footnote>
  <w:footnote w:type="continuationNotice" w:id="1">
    <w:p w14:paraId="274B8560" w14:textId="77777777" w:rsidR="00E1280F" w:rsidRDefault="00E128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138E2" w14:textId="77777777" w:rsidR="00DE2619" w:rsidRDefault="00DE26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23EB" w14:textId="77777777" w:rsidR="00DE2619" w:rsidRDefault="00EA55D6">
    <w:pPr>
      <w:pStyle w:val="Zhlav"/>
    </w:pPr>
    <w:r>
      <w:rPr>
        <w:noProof/>
      </w:rPr>
      <w:drawing>
        <wp:inline distT="0" distB="0" distL="0" distR="0" wp14:anchorId="1509863C" wp14:editId="296F6EB6">
          <wp:extent cx="5270500" cy="869950"/>
          <wp:effectExtent l="0" t="0" r="6350" b="6350"/>
          <wp:docPr id="1" name="Obrázek 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2E89" w14:textId="77777777" w:rsidR="00D66BC5" w:rsidRDefault="00D66BC5">
    <w:pPr>
      <w:pStyle w:val="Zhlav"/>
    </w:pPr>
    <w:r>
      <w:rPr>
        <w:noProof/>
      </w:rPr>
      <w:drawing>
        <wp:inline distT="0" distB="0" distL="0" distR="0" wp14:anchorId="32F6F776" wp14:editId="47803E50">
          <wp:extent cx="5270500" cy="869950"/>
          <wp:effectExtent l="0" t="0" r="6350" b="6350"/>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92863FD"/>
    <w:multiLevelType w:val="hybridMultilevel"/>
    <w:tmpl w:val="415EFE52"/>
    <w:lvl w:ilvl="0" w:tplc="D48ECD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327415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F545F4"/>
    <w:multiLevelType w:val="hybridMultilevel"/>
    <w:tmpl w:val="C93A67E4"/>
    <w:lvl w:ilvl="0" w:tplc="FC84E74A">
      <w:start w:val="1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9E0FDE"/>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20242B28"/>
    <w:multiLevelType w:val="hybridMultilevel"/>
    <w:tmpl w:val="ADFC0CCA"/>
    <w:lvl w:ilvl="0" w:tplc="13200DC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82BE4"/>
    <w:multiLevelType w:val="hybridMultilevel"/>
    <w:tmpl w:val="EC7E4D7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571C0E"/>
    <w:multiLevelType w:val="hybridMultilevel"/>
    <w:tmpl w:val="62BA002A"/>
    <w:lvl w:ilvl="0" w:tplc="113A230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B0A4C6A"/>
    <w:multiLevelType w:val="hybridMultilevel"/>
    <w:tmpl w:val="6B8A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8B3CDF"/>
    <w:multiLevelType w:val="hybridMultilevel"/>
    <w:tmpl w:val="0BA63232"/>
    <w:lvl w:ilvl="0" w:tplc="CC0ED2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3F1D2E"/>
    <w:multiLevelType w:val="hybridMultilevel"/>
    <w:tmpl w:val="5B94B298"/>
    <w:lvl w:ilvl="0" w:tplc="751C498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595B11"/>
    <w:multiLevelType w:val="hybridMultilevel"/>
    <w:tmpl w:val="EC7E4D7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2" w15:restartNumberingAfterBreak="0">
    <w:nsid w:val="485226EF"/>
    <w:multiLevelType w:val="hybridMultilevel"/>
    <w:tmpl w:val="ADFC0CCA"/>
    <w:lvl w:ilvl="0" w:tplc="13200DC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8830B63"/>
    <w:multiLevelType w:val="hybridMultilevel"/>
    <w:tmpl w:val="4EF44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AB0D9E"/>
    <w:multiLevelType w:val="hybridMultilevel"/>
    <w:tmpl w:val="27E624E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00D258C"/>
    <w:multiLevelType w:val="hybridMultilevel"/>
    <w:tmpl w:val="E9D88688"/>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0"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94725B4"/>
    <w:multiLevelType w:val="hybridMultilevel"/>
    <w:tmpl w:val="AC9EBA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C83644"/>
    <w:multiLevelType w:val="hybridMultilevel"/>
    <w:tmpl w:val="BEF2C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30"/>
  </w:num>
  <w:num w:numId="3">
    <w:abstractNumId w:val="11"/>
  </w:num>
  <w:num w:numId="4">
    <w:abstractNumId w:val="5"/>
  </w:num>
  <w:num w:numId="5">
    <w:abstractNumId w:val="25"/>
  </w:num>
  <w:num w:numId="6">
    <w:abstractNumId w:val="18"/>
  </w:num>
  <w:num w:numId="7">
    <w:abstractNumId w:val="16"/>
  </w:num>
  <w:num w:numId="8">
    <w:abstractNumId w:val="7"/>
  </w:num>
  <w:num w:numId="9">
    <w:abstractNumId w:val="9"/>
  </w:num>
  <w:num w:numId="10">
    <w:abstractNumId w:val="23"/>
  </w:num>
  <w:num w:numId="11">
    <w:abstractNumId w:val="31"/>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7"/>
  </w:num>
  <w:num w:numId="21">
    <w:abstractNumId w:val="15"/>
  </w:num>
  <w:num w:numId="22">
    <w:abstractNumId w:val="21"/>
  </w:num>
  <w:num w:numId="23">
    <w:abstractNumId w:val="5"/>
  </w:num>
  <w:num w:numId="24">
    <w:abstractNumId w:val="19"/>
  </w:num>
  <w:num w:numId="25">
    <w:abstractNumId w:val="2"/>
  </w:num>
  <w:num w:numId="26">
    <w:abstractNumId w:val="33"/>
  </w:num>
  <w:num w:numId="27">
    <w:abstractNumId w:val="28"/>
  </w:num>
  <w:num w:numId="28">
    <w:abstractNumId w:val="32"/>
  </w:num>
  <w:num w:numId="29">
    <w:abstractNumId w:val="34"/>
  </w:num>
  <w:num w:numId="30">
    <w:abstractNumId w:val="13"/>
  </w:num>
  <w:num w:numId="31">
    <w:abstractNumId w:val="6"/>
  </w:num>
  <w:num w:numId="32">
    <w:abstractNumId w:val="29"/>
  </w:num>
  <w:num w:numId="33">
    <w:abstractNumId w:val="10"/>
  </w:num>
  <w:num w:numId="34">
    <w:abstractNumId w:val="20"/>
  </w:num>
  <w:num w:numId="35">
    <w:abstractNumId w:val="17"/>
  </w:num>
  <w:num w:numId="36">
    <w:abstractNumId w:val="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9"/>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A29"/>
    <w:rsid w:val="00007BFF"/>
    <w:rsid w:val="00011669"/>
    <w:rsid w:val="00011CB6"/>
    <w:rsid w:val="00012AC7"/>
    <w:rsid w:val="0001382F"/>
    <w:rsid w:val="00013D4B"/>
    <w:rsid w:val="00013D62"/>
    <w:rsid w:val="00014055"/>
    <w:rsid w:val="00014F37"/>
    <w:rsid w:val="000154AD"/>
    <w:rsid w:val="00015506"/>
    <w:rsid w:val="00015B85"/>
    <w:rsid w:val="000169AC"/>
    <w:rsid w:val="000247E7"/>
    <w:rsid w:val="00026677"/>
    <w:rsid w:val="00026B2A"/>
    <w:rsid w:val="0002769B"/>
    <w:rsid w:val="00031F0B"/>
    <w:rsid w:val="00033558"/>
    <w:rsid w:val="00034A45"/>
    <w:rsid w:val="00035517"/>
    <w:rsid w:val="000358FE"/>
    <w:rsid w:val="00035D48"/>
    <w:rsid w:val="00037656"/>
    <w:rsid w:val="000404B5"/>
    <w:rsid w:val="00040561"/>
    <w:rsid w:val="0004218A"/>
    <w:rsid w:val="000421A0"/>
    <w:rsid w:val="00042F67"/>
    <w:rsid w:val="00043591"/>
    <w:rsid w:val="00043C50"/>
    <w:rsid w:val="00044983"/>
    <w:rsid w:val="0004503C"/>
    <w:rsid w:val="00046A1A"/>
    <w:rsid w:val="000500C5"/>
    <w:rsid w:val="0005151C"/>
    <w:rsid w:val="00052815"/>
    <w:rsid w:val="000531AE"/>
    <w:rsid w:val="00053B92"/>
    <w:rsid w:val="00054190"/>
    <w:rsid w:val="000557E5"/>
    <w:rsid w:val="000573D5"/>
    <w:rsid w:val="00057D09"/>
    <w:rsid w:val="000625DA"/>
    <w:rsid w:val="00063617"/>
    <w:rsid w:val="000647E5"/>
    <w:rsid w:val="000647F1"/>
    <w:rsid w:val="00065A83"/>
    <w:rsid w:val="0006619D"/>
    <w:rsid w:val="00066F64"/>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6607"/>
    <w:rsid w:val="00097328"/>
    <w:rsid w:val="0009736D"/>
    <w:rsid w:val="00097451"/>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C633A"/>
    <w:rsid w:val="000D068D"/>
    <w:rsid w:val="000D17EF"/>
    <w:rsid w:val="000D2D78"/>
    <w:rsid w:val="000D3FD5"/>
    <w:rsid w:val="000D3FFA"/>
    <w:rsid w:val="000D5535"/>
    <w:rsid w:val="000D6FAB"/>
    <w:rsid w:val="000D7527"/>
    <w:rsid w:val="000D7E2F"/>
    <w:rsid w:val="000E068C"/>
    <w:rsid w:val="000E1255"/>
    <w:rsid w:val="000E4B38"/>
    <w:rsid w:val="000E5871"/>
    <w:rsid w:val="000E769D"/>
    <w:rsid w:val="000E76CA"/>
    <w:rsid w:val="000F17EF"/>
    <w:rsid w:val="000F54E4"/>
    <w:rsid w:val="000F584B"/>
    <w:rsid w:val="000F6BC1"/>
    <w:rsid w:val="00100053"/>
    <w:rsid w:val="00100CE0"/>
    <w:rsid w:val="00101194"/>
    <w:rsid w:val="001017EF"/>
    <w:rsid w:val="00102A73"/>
    <w:rsid w:val="00103A8B"/>
    <w:rsid w:val="0010478E"/>
    <w:rsid w:val="00104FBB"/>
    <w:rsid w:val="00105443"/>
    <w:rsid w:val="00106FC1"/>
    <w:rsid w:val="001078A6"/>
    <w:rsid w:val="00110033"/>
    <w:rsid w:val="00110B4E"/>
    <w:rsid w:val="00110BE7"/>
    <w:rsid w:val="001110D4"/>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26E1"/>
    <w:rsid w:val="00134F70"/>
    <w:rsid w:val="001351E0"/>
    <w:rsid w:val="00135D00"/>
    <w:rsid w:val="00136110"/>
    <w:rsid w:val="0013750E"/>
    <w:rsid w:val="00137802"/>
    <w:rsid w:val="00141584"/>
    <w:rsid w:val="00141B5C"/>
    <w:rsid w:val="00142936"/>
    <w:rsid w:val="001430DE"/>
    <w:rsid w:val="00143306"/>
    <w:rsid w:val="00143563"/>
    <w:rsid w:val="00143A09"/>
    <w:rsid w:val="0014467A"/>
    <w:rsid w:val="00145805"/>
    <w:rsid w:val="00145DB8"/>
    <w:rsid w:val="0014630A"/>
    <w:rsid w:val="00151CE7"/>
    <w:rsid w:val="00151EFF"/>
    <w:rsid w:val="001536C6"/>
    <w:rsid w:val="00153988"/>
    <w:rsid w:val="0015574E"/>
    <w:rsid w:val="00156111"/>
    <w:rsid w:val="001570B4"/>
    <w:rsid w:val="001573DD"/>
    <w:rsid w:val="00157C37"/>
    <w:rsid w:val="001603A9"/>
    <w:rsid w:val="001607E3"/>
    <w:rsid w:val="00161088"/>
    <w:rsid w:val="00161ACF"/>
    <w:rsid w:val="001626D9"/>
    <w:rsid w:val="0016289D"/>
    <w:rsid w:val="001678CC"/>
    <w:rsid w:val="00167BEE"/>
    <w:rsid w:val="0017159C"/>
    <w:rsid w:val="00172FDB"/>
    <w:rsid w:val="00173079"/>
    <w:rsid w:val="00173928"/>
    <w:rsid w:val="00173ECF"/>
    <w:rsid w:val="001757E9"/>
    <w:rsid w:val="00177955"/>
    <w:rsid w:val="001802B8"/>
    <w:rsid w:val="00180E3A"/>
    <w:rsid w:val="00181173"/>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B54"/>
    <w:rsid w:val="001A6FFB"/>
    <w:rsid w:val="001B02D3"/>
    <w:rsid w:val="001B112F"/>
    <w:rsid w:val="001B145F"/>
    <w:rsid w:val="001B2EE0"/>
    <w:rsid w:val="001B4967"/>
    <w:rsid w:val="001B5F59"/>
    <w:rsid w:val="001B6A52"/>
    <w:rsid w:val="001B7B7C"/>
    <w:rsid w:val="001C2056"/>
    <w:rsid w:val="001C4FD6"/>
    <w:rsid w:val="001C55E3"/>
    <w:rsid w:val="001C5A9E"/>
    <w:rsid w:val="001C63D7"/>
    <w:rsid w:val="001D0320"/>
    <w:rsid w:val="001D124F"/>
    <w:rsid w:val="001D1566"/>
    <w:rsid w:val="001D208C"/>
    <w:rsid w:val="001D5F2D"/>
    <w:rsid w:val="001D6B5E"/>
    <w:rsid w:val="001E1D90"/>
    <w:rsid w:val="001E22FB"/>
    <w:rsid w:val="001E353B"/>
    <w:rsid w:val="001E368B"/>
    <w:rsid w:val="001E36DE"/>
    <w:rsid w:val="001E44CD"/>
    <w:rsid w:val="001E4910"/>
    <w:rsid w:val="001E4DCD"/>
    <w:rsid w:val="001E57EE"/>
    <w:rsid w:val="001E6636"/>
    <w:rsid w:val="001E7BF9"/>
    <w:rsid w:val="001F0652"/>
    <w:rsid w:val="001F0C3A"/>
    <w:rsid w:val="001F0F4B"/>
    <w:rsid w:val="001F10D4"/>
    <w:rsid w:val="001F1840"/>
    <w:rsid w:val="001F1C70"/>
    <w:rsid w:val="001F1CEF"/>
    <w:rsid w:val="001F39C3"/>
    <w:rsid w:val="001F3C21"/>
    <w:rsid w:val="001F4D06"/>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43E"/>
    <w:rsid w:val="002349B9"/>
    <w:rsid w:val="00235DD0"/>
    <w:rsid w:val="00236363"/>
    <w:rsid w:val="00236B15"/>
    <w:rsid w:val="002409F1"/>
    <w:rsid w:val="00241008"/>
    <w:rsid w:val="00243EF9"/>
    <w:rsid w:val="00245122"/>
    <w:rsid w:val="00250D42"/>
    <w:rsid w:val="002539AC"/>
    <w:rsid w:val="002542E0"/>
    <w:rsid w:val="00255094"/>
    <w:rsid w:val="00255456"/>
    <w:rsid w:val="00260A9D"/>
    <w:rsid w:val="00262B2D"/>
    <w:rsid w:val="002641E2"/>
    <w:rsid w:val="00264A6A"/>
    <w:rsid w:val="0026555B"/>
    <w:rsid w:val="00265D2D"/>
    <w:rsid w:val="00267EE1"/>
    <w:rsid w:val="002707F9"/>
    <w:rsid w:val="00270DD3"/>
    <w:rsid w:val="002710D8"/>
    <w:rsid w:val="00274572"/>
    <w:rsid w:val="0027678B"/>
    <w:rsid w:val="00282D6A"/>
    <w:rsid w:val="00283483"/>
    <w:rsid w:val="00284406"/>
    <w:rsid w:val="00284B4F"/>
    <w:rsid w:val="00284E2E"/>
    <w:rsid w:val="0028605B"/>
    <w:rsid w:val="00287B08"/>
    <w:rsid w:val="002910DF"/>
    <w:rsid w:val="00291A50"/>
    <w:rsid w:val="00291B13"/>
    <w:rsid w:val="00292CFF"/>
    <w:rsid w:val="00293D99"/>
    <w:rsid w:val="002A042D"/>
    <w:rsid w:val="002A0476"/>
    <w:rsid w:val="002A0DF2"/>
    <w:rsid w:val="002A2215"/>
    <w:rsid w:val="002A2439"/>
    <w:rsid w:val="002A40FE"/>
    <w:rsid w:val="002A50D4"/>
    <w:rsid w:val="002A5896"/>
    <w:rsid w:val="002A6D75"/>
    <w:rsid w:val="002B1E7F"/>
    <w:rsid w:val="002B2BFE"/>
    <w:rsid w:val="002B301C"/>
    <w:rsid w:val="002B36FE"/>
    <w:rsid w:val="002B5CEE"/>
    <w:rsid w:val="002B67F7"/>
    <w:rsid w:val="002B7667"/>
    <w:rsid w:val="002C0AA6"/>
    <w:rsid w:val="002C0EFE"/>
    <w:rsid w:val="002C129B"/>
    <w:rsid w:val="002C15E7"/>
    <w:rsid w:val="002C19AA"/>
    <w:rsid w:val="002C1F2E"/>
    <w:rsid w:val="002C259D"/>
    <w:rsid w:val="002C30C6"/>
    <w:rsid w:val="002C4AA3"/>
    <w:rsid w:val="002C4BAD"/>
    <w:rsid w:val="002C5716"/>
    <w:rsid w:val="002C61C5"/>
    <w:rsid w:val="002C7B0E"/>
    <w:rsid w:val="002C7E88"/>
    <w:rsid w:val="002D1265"/>
    <w:rsid w:val="002D2059"/>
    <w:rsid w:val="002D4A49"/>
    <w:rsid w:val="002D5E1E"/>
    <w:rsid w:val="002D7213"/>
    <w:rsid w:val="002E0858"/>
    <w:rsid w:val="002E0E03"/>
    <w:rsid w:val="002E171C"/>
    <w:rsid w:val="002E20E6"/>
    <w:rsid w:val="002E23BD"/>
    <w:rsid w:val="002E2586"/>
    <w:rsid w:val="002E3592"/>
    <w:rsid w:val="002E570B"/>
    <w:rsid w:val="002E68EF"/>
    <w:rsid w:val="002E6B3D"/>
    <w:rsid w:val="002E736F"/>
    <w:rsid w:val="002F001F"/>
    <w:rsid w:val="002F1F24"/>
    <w:rsid w:val="002F2C52"/>
    <w:rsid w:val="002F3050"/>
    <w:rsid w:val="002F3650"/>
    <w:rsid w:val="002F420F"/>
    <w:rsid w:val="002F4740"/>
    <w:rsid w:val="002F6A0A"/>
    <w:rsid w:val="003018C5"/>
    <w:rsid w:val="00302A0C"/>
    <w:rsid w:val="0030353D"/>
    <w:rsid w:val="00303D6B"/>
    <w:rsid w:val="003042F7"/>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2778B"/>
    <w:rsid w:val="00330384"/>
    <w:rsid w:val="00331E78"/>
    <w:rsid w:val="003327F0"/>
    <w:rsid w:val="00334703"/>
    <w:rsid w:val="00336295"/>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599A"/>
    <w:rsid w:val="00385AD7"/>
    <w:rsid w:val="00386278"/>
    <w:rsid w:val="00387676"/>
    <w:rsid w:val="003877FF"/>
    <w:rsid w:val="00393686"/>
    <w:rsid w:val="003937C8"/>
    <w:rsid w:val="00393B7F"/>
    <w:rsid w:val="003A40E4"/>
    <w:rsid w:val="003A4920"/>
    <w:rsid w:val="003A4A95"/>
    <w:rsid w:val="003A5508"/>
    <w:rsid w:val="003A5C1B"/>
    <w:rsid w:val="003A64EB"/>
    <w:rsid w:val="003A6683"/>
    <w:rsid w:val="003A66A0"/>
    <w:rsid w:val="003A6874"/>
    <w:rsid w:val="003A718A"/>
    <w:rsid w:val="003A7513"/>
    <w:rsid w:val="003A7DA5"/>
    <w:rsid w:val="003B0435"/>
    <w:rsid w:val="003B0602"/>
    <w:rsid w:val="003B1E06"/>
    <w:rsid w:val="003B2863"/>
    <w:rsid w:val="003B3A56"/>
    <w:rsid w:val="003B5E85"/>
    <w:rsid w:val="003B74E0"/>
    <w:rsid w:val="003B76FD"/>
    <w:rsid w:val="003C03DF"/>
    <w:rsid w:val="003C10F5"/>
    <w:rsid w:val="003C1E8A"/>
    <w:rsid w:val="003C2139"/>
    <w:rsid w:val="003C3288"/>
    <w:rsid w:val="003C3AE9"/>
    <w:rsid w:val="003C4348"/>
    <w:rsid w:val="003C4779"/>
    <w:rsid w:val="003C4F34"/>
    <w:rsid w:val="003C5379"/>
    <w:rsid w:val="003C55D6"/>
    <w:rsid w:val="003C5638"/>
    <w:rsid w:val="003C587C"/>
    <w:rsid w:val="003C5B54"/>
    <w:rsid w:val="003C64BE"/>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27B8"/>
    <w:rsid w:val="003E32D1"/>
    <w:rsid w:val="003E4119"/>
    <w:rsid w:val="003E619B"/>
    <w:rsid w:val="003E6DFC"/>
    <w:rsid w:val="003F0004"/>
    <w:rsid w:val="003F077C"/>
    <w:rsid w:val="003F19D2"/>
    <w:rsid w:val="003F3606"/>
    <w:rsid w:val="003F3E87"/>
    <w:rsid w:val="003F477E"/>
    <w:rsid w:val="003F54A3"/>
    <w:rsid w:val="003F6188"/>
    <w:rsid w:val="003F6D7F"/>
    <w:rsid w:val="004002DD"/>
    <w:rsid w:val="00402A33"/>
    <w:rsid w:val="00403E7A"/>
    <w:rsid w:val="00406D6A"/>
    <w:rsid w:val="004074A8"/>
    <w:rsid w:val="00407EA8"/>
    <w:rsid w:val="0041044A"/>
    <w:rsid w:val="004106F5"/>
    <w:rsid w:val="004107B9"/>
    <w:rsid w:val="00410EB7"/>
    <w:rsid w:val="00410F20"/>
    <w:rsid w:val="004117AD"/>
    <w:rsid w:val="00414FAB"/>
    <w:rsid w:val="004154DD"/>
    <w:rsid w:val="0041614A"/>
    <w:rsid w:val="004171F3"/>
    <w:rsid w:val="004179FF"/>
    <w:rsid w:val="00420A8E"/>
    <w:rsid w:val="00421277"/>
    <w:rsid w:val="0042131F"/>
    <w:rsid w:val="00421817"/>
    <w:rsid w:val="00421D78"/>
    <w:rsid w:val="00423E1D"/>
    <w:rsid w:val="00424221"/>
    <w:rsid w:val="00427A9C"/>
    <w:rsid w:val="00431112"/>
    <w:rsid w:val="00431B7C"/>
    <w:rsid w:val="00432705"/>
    <w:rsid w:val="00433847"/>
    <w:rsid w:val="00433DEB"/>
    <w:rsid w:val="004366CA"/>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BEE"/>
    <w:rsid w:val="00472C26"/>
    <w:rsid w:val="00473C85"/>
    <w:rsid w:val="00474E97"/>
    <w:rsid w:val="0047550C"/>
    <w:rsid w:val="00477DB4"/>
    <w:rsid w:val="00480031"/>
    <w:rsid w:val="00480BED"/>
    <w:rsid w:val="004816D3"/>
    <w:rsid w:val="004820A8"/>
    <w:rsid w:val="0048456D"/>
    <w:rsid w:val="00484ED7"/>
    <w:rsid w:val="00486A9F"/>
    <w:rsid w:val="00490D09"/>
    <w:rsid w:val="004923DC"/>
    <w:rsid w:val="004924D4"/>
    <w:rsid w:val="00492918"/>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3935"/>
    <w:rsid w:val="004B497D"/>
    <w:rsid w:val="004B6003"/>
    <w:rsid w:val="004B6B59"/>
    <w:rsid w:val="004B71F0"/>
    <w:rsid w:val="004B7407"/>
    <w:rsid w:val="004C0472"/>
    <w:rsid w:val="004C0B3F"/>
    <w:rsid w:val="004C225D"/>
    <w:rsid w:val="004C2CF4"/>
    <w:rsid w:val="004C315F"/>
    <w:rsid w:val="004C4DCE"/>
    <w:rsid w:val="004C5BB5"/>
    <w:rsid w:val="004C626A"/>
    <w:rsid w:val="004D0820"/>
    <w:rsid w:val="004D093C"/>
    <w:rsid w:val="004D1932"/>
    <w:rsid w:val="004D1FA1"/>
    <w:rsid w:val="004D2008"/>
    <w:rsid w:val="004D22C6"/>
    <w:rsid w:val="004D44C5"/>
    <w:rsid w:val="004D6C26"/>
    <w:rsid w:val="004E0ADD"/>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037F"/>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2F64"/>
    <w:rsid w:val="0052508C"/>
    <w:rsid w:val="005264BB"/>
    <w:rsid w:val="00527B45"/>
    <w:rsid w:val="00530BB4"/>
    <w:rsid w:val="005322E0"/>
    <w:rsid w:val="005323F9"/>
    <w:rsid w:val="00533312"/>
    <w:rsid w:val="00534529"/>
    <w:rsid w:val="00535B2F"/>
    <w:rsid w:val="00537DCD"/>
    <w:rsid w:val="005401A1"/>
    <w:rsid w:val="005402C2"/>
    <w:rsid w:val="005406A8"/>
    <w:rsid w:val="00542CE2"/>
    <w:rsid w:val="00542E47"/>
    <w:rsid w:val="0054328E"/>
    <w:rsid w:val="005456C4"/>
    <w:rsid w:val="00545D6E"/>
    <w:rsid w:val="00545E4C"/>
    <w:rsid w:val="00545F6B"/>
    <w:rsid w:val="005460FC"/>
    <w:rsid w:val="00546AC9"/>
    <w:rsid w:val="00546BD4"/>
    <w:rsid w:val="00550B49"/>
    <w:rsid w:val="0055120C"/>
    <w:rsid w:val="00551CCF"/>
    <w:rsid w:val="005522CD"/>
    <w:rsid w:val="00552A0C"/>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43A7"/>
    <w:rsid w:val="0059453F"/>
    <w:rsid w:val="005946C5"/>
    <w:rsid w:val="0059493C"/>
    <w:rsid w:val="00594B8E"/>
    <w:rsid w:val="00595EFF"/>
    <w:rsid w:val="00596129"/>
    <w:rsid w:val="00596B87"/>
    <w:rsid w:val="005976BE"/>
    <w:rsid w:val="0059784E"/>
    <w:rsid w:val="00597D37"/>
    <w:rsid w:val="005A09AB"/>
    <w:rsid w:val="005A46C7"/>
    <w:rsid w:val="005A572E"/>
    <w:rsid w:val="005A5E30"/>
    <w:rsid w:val="005A68C9"/>
    <w:rsid w:val="005A6AFE"/>
    <w:rsid w:val="005B3D8A"/>
    <w:rsid w:val="005B4222"/>
    <w:rsid w:val="005B448E"/>
    <w:rsid w:val="005B688B"/>
    <w:rsid w:val="005B7EBB"/>
    <w:rsid w:val="005C3BF4"/>
    <w:rsid w:val="005C3F8F"/>
    <w:rsid w:val="005C5236"/>
    <w:rsid w:val="005C6BE2"/>
    <w:rsid w:val="005C732F"/>
    <w:rsid w:val="005C7C8E"/>
    <w:rsid w:val="005D0D25"/>
    <w:rsid w:val="005D1902"/>
    <w:rsid w:val="005D1D4A"/>
    <w:rsid w:val="005D2210"/>
    <w:rsid w:val="005D2C4F"/>
    <w:rsid w:val="005D37E4"/>
    <w:rsid w:val="005D3A2D"/>
    <w:rsid w:val="005D406E"/>
    <w:rsid w:val="005D4961"/>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084"/>
    <w:rsid w:val="00600CC3"/>
    <w:rsid w:val="0060133C"/>
    <w:rsid w:val="00601A98"/>
    <w:rsid w:val="00601EDD"/>
    <w:rsid w:val="006029DE"/>
    <w:rsid w:val="00602EDB"/>
    <w:rsid w:val="00604598"/>
    <w:rsid w:val="00610855"/>
    <w:rsid w:val="00611446"/>
    <w:rsid w:val="0061202E"/>
    <w:rsid w:val="00612D3E"/>
    <w:rsid w:val="00614F79"/>
    <w:rsid w:val="0061589E"/>
    <w:rsid w:val="00615E76"/>
    <w:rsid w:val="00616482"/>
    <w:rsid w:val="00620306"/>
    <w:rsid w:val="00621343"/>
    <w:rsid w:val="00621A60"/>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577"/>
    <w:rsid w:val="006656C5"/>
    <w:rsid w:val="00666E60"/>
    <w:rsid w:val="00667A32"/>
    <w:rsid w:val="00670E4C"/>
    <w:rsid w:val="006717E9"/>
    <w:rsid w:val="00671FF0"/>
    <w:rsid w:val="006730BB"/>
    <w:rsid w:val="0067600C"/>
    <w:rsid w:val="00677BA3"/>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7221"/>
    <w:rsid w:val="00697AC3"/>
    <w:rsid w:val="00697CC3"/>
    <w:rsid w:val="006A003D"/>
    <w:rsid w:val="006A0CD7"/>
    <w:rsid w:val="006A2D27"/>
    <w:rsid w:val="006A33A0"/>
    <w:rsid w:val="006A3F09"/>
    <w:rsid w:val="006A3FB1"/>
    <w:rsid w:val="006A4B5C"/>
    <w:rsid w:val="006A6503"/>
    <w:rsid w:val="006A7CF4"/>
    <w:rsid w:val="006B095F"/>
    <w:rsid w:val="006B25A3"/>
    <w:rsid w:val="006B377B"/>
    <w:rsid w:val="006B6361"/>
    <w:rsid w:val="006B6726"/>
    <w:rsid w:val="006C0035"/>
    <w:rsid w:val="006C0E68"/>
    <w:rsid w:val="006C1105"/>
    <w:rsid w:val="006C17BD"/>
    <w:rsid w:val="006C3958"/>
    <w:rsid w:val="006C6442"/>
    <w:rsid w:val="006C6CB0"/>
    <w:rsid w:val="006D045F"/>
    <w:rsid w:val="006D0EC8"/>
    <w:rsid w:val="006D723D"/>
    <w:rsid w:val="006E04FF"/>
    <w:rsid w:val="006E109A"/>
    <w:rsid w:val="006E1384"/>
    <w:rsid w:val="006E17A4"/>
    <w:rsid w:val="006E1C9D"/>
    <w:rsid w:val="006E1CEC"/>
    <w:rsid w:val="006E37A5"/>
    <w:rsid w:val="006E388F"/>
    <w:rsid w:val="006E612F"/>
    <w:rsid w:val="006F047B"/>
    <w:rsid w:val="006F07F9"/>
    <w:rsid w:val="006F497B"/>
    <w:rsid w:val="006F54B8"/>
    <w:rsid w:val="006F6D63"/>
    <w:rsid w:val="006F715D"/>
    <w:rsid w:val="007005CF"/>
    <w:rsid w:val="00701151"/>
    <w:rsid w:val="00701B1A"/>
    <w:rsid w:val="00701DB0"/>
    <w:rsid w:val="00702212"/>
    <w:rsid w:val="00703D58"/>
    <w:rsid w:val="007045BB"/>
    <w:rsid w:val="0070569B"/>
    <w:rsid w:val="00706239"/>
    <w:rsid w:val="007064FF"/>
    <w:rsid w:val="00706ED1"/>
    <w:rsid w:val="007073DA"/>
    <w:rsid w:val="007077CC"/>
    <w:rsid w:val="007078A1"/>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5B14"/>
    <w:rsid w:val="00726B47"/>
    <w:rsid w:val="007279EE"/>
    <w:rsid w:val="00727F1C"/>
    <w:rsid w:val="00731AE7"/>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0E8E"/>
    <w:rsid w:val="007732E5"/>
    <w:rsid w:val="007775D6"/>
    <w:rsid w:val="0078068A"/>
    <w:rsid w:val="00784295"/>
    <w:rsid w:val="007849AF"/>
    <w:rsid w:val="007869AD"/>
    <w:rsid w:val="00787832"/>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A7634"/>
    <w:rsid w:val="007B15D3"/>
    <w:rsid w:val="007B2F8B"/>
    <w:rsid w:val="007B3C7C"/>
    <w:rsid w:val="007B48BD"/>
    <w:rsid w:val="007C06F5"/>
    <w:rsid w:val="007C1BC7"/>
    <w:rsid w:val="007C26F8"/>
    <w:rsid w:val="007C4BF6"/>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FA8"/>
    <w:rsid w:val="007F2BEA"/>
    <w:rsid w:val="007F33B5"/>
    <w:rsid w:val="007F47D5"/>
    <w:rsid w:val="007F6507"/>
    <w:rsid w:val="00801525"/>
    <w:rsid w:val="008019CB"/>
    <w:rsid w:val="008048E1"/>
    <w:rsid w:val="0080705C"/>
    <w:rsid w:val="0080722B"/>
    <w:rsid w:val="008105A9"/>
    <w:rsid w:val="00811856"/>
    <w:rsid w:val="00811919"/>
    <w:rsid w:val="00812273"/>
    <w:rsid w:val="00812E2C"/>
    <w:rsid w:val="00813934"/>
    <w:rsid w:val="00813DC1"/>
    <w:rsid w:val="0081617B"/>
    <w:rsid w:val="00816A17"/>
    <w:rsid w:val="008176BA"/>
    <w:rsid w:val="008179CD"/>
    <w:rsid w:val="00817C8B"/>
    <w:rsid w:val="00820631"/>
    <w:rsid w:val="00820B7D"/>
    <w:rsid w:val="00820C7E"/>
    <w:rsid w:val="00822493"/>
    <w:rsid w:val="00823356"/>
    <w:rsid w:val="00823B91"/>
    <w:rsid w:val="00825B01"/>
    <w:rsid w:val="00830040"/>
    <w:rsid w:val="008309A9"/>
    <w:rsid w:val="00832088"/>
    <w:rsid w:val="008333C6"/>
    <w:rsid w:val="008335E1"/>
    <w:rsid w:val="00834198"/>
    <w:rsid w:val="008346A4"/>
    <w:rsid w:val="00835816"/>
    <w:rsid w:val="00837980"/>
    <w:rsid w:val="00840AC4"/>
    <w:rsid w:val="00842D3C"/>
    <w:rsid w:val="008443FC"/>
    <w:rsid w:val="008449B9"/>
    <w:rsid w:val="00844DFB"/>
    <w:rsid w:val="008456CE"/>
    <w:rsid w:val="00846587"/>
    <w:rsid w:val="00847CA5"/>
    <w:rsid w:val="00847DC6"/>
    <w:rsid w:val="0085171F"/>
    <w:rsid w:val="00851DB2"/>
    <w:rsid w:val="00852489"/>
    <w:rsid w:val="00853E7D"/>
    <w:rsid w:val="00855540"/>
    <w:rsid w:val="00856130"/>
    <w:rsid w:val="00860E13"/>
    <w:rsid w:val="008612EE"/>
    <w:rsid w:val="008627CB"/>
    <w:rsid w:val="00862E0C"/>
    <w:rsid w:val="00864046"/>
    <w:rsid w:val="00864225"/>
    <w:rsid w:val="00865D50"/>
    <w:rsid w:val="00867659"/>
    <w:rsid w:val="008679C4"/>
    <w:rsid w:val="00871B7E"/>
    <w:rsid w:val="00871CD1"/>
    <w:rsid w:val="00873AA8"/>
    <w:rsid w:val="008746A9"/>
    <w:rsid w:val="00875593"/>
    <w:rsid w:val="00875B8E"/>
    <w:rsid w:val="00876CB2"/>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518D"/>
    <w:rsid w:val="00896340"/>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53B6"/>
    <w:rsid w:val="008B5BDA"/>
    <w:rsid w:val="008B6970"/>
    <w:rsid w:val="008B6EDE"/>
    <w:rsid w:val="008C105D"/>
    <w:rsid w:val="008C25C1"/>
    <w:rsid w:val="008C3FB3"/>
    <w:rsid w:val="008C4515"/>
    <w:rsid w:val="008D08EB"/>
    <w:rsid w:val="008D0B1A"/>
    <w:rsid w:val="008D1042"/>
    <w:rsid w:val="008D13AC"/>
    <w:rsid w:val="008D1A03"/>
    <w:rsid w:val="008D2EDF"/>
    <w:rsid w:val="008D335E"/>
    <w:rsid w:val="008D353F"/>
    <w:rsid w:val="008D37AF"/>
    <w:rsid w:val="008D3C34"/>
    <w:rsid w:val="008D45D6"/>
    <w:rsid w:val="008E2C14"/>
    <w:rsid w:val="008E3072"/>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C6B"/>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311A"/>
    <w:rsid w:val="0095607B"/>
    <w:rsid w:val="00956317"/>
    <w:rsid w:val="00956D48"/>
    <w:rsid w:val="009577CC"/>
    <w:rsid w:val="00957B3B"/>
    <w:rsid w:val="00963F27"/>
    <w:rsid w:val="00965F2E"/>
    <w:rsid w:val="00966B8A"/>
    <w:rsid w:val="00966C9F"/>
    <w:rsid w:val="00967702"/>
    <w:rsid w:val="00967CFB"/>
    <w:rsid w:val="0097038D"/>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2B99"/>
    <w:rsid w:val="00984754"/>
    <w:rsid w:val="00984B31"/>
    <w:rsid w:val="00987DA2"/>
    <w:rsid w:val="009905CA"/>
    <w:rsid w:val="00990862"/>
    <w:rsid w:val="009908DE"/>
    <w:rsid w:val="00990927"/>
    <w:rsid w:val="00991DAC"/>
    <w:rsid w:val="0099260F"/>
    <w:rsid w:val="00992819"/>
    <w:rsid w:val="009936EB"/>
    <w:rsid w:val="00993CFF"/>
    <w:rsid w:val="009947E7"/>
    <w:rsid w:val="009950DC"/>
    <w:rsid w:val="00997EBE"/>
    <w:rsid w:val="009A139E"/>
    <w:rsid w:val="009A1F30"/>
    <w:rsid w:val="009A3A4B"/>
    <w:rsid w:val="009A3CA8"/>
    <w:rsid w:val="009A44C7"/>
    <w:rsid w:val="009A4650"/>
    <w:rsid w:val="009A79D8"/>
    <w:rsid w:val="009B18B3"/>
    <w:rsid w:val="009B287B"/>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9F7BA0"/>
    <w:rsid w:val="00A005C1"/>
    <w:rsid w:val="00A00AA8"/>
    <w:rsid w:val="00A01657"/>
    <w:rsid w:val="00A01A78"/>
    <w:rsid w:val="00A02256"/>
    <w:rsid w:val="00A024C3"/>
    <w:rsid w:val="00A035BE"/>
    <w:rsid w:val="00A03DBE"/>
    <w:rsid w:val="00A05BEB"/>
    <w:rsid w:val="00A06BAE"/>
    <w:rsid w:val="00A120EE"/>
    <w:rsid w:val="00A126F8"/>
    <w:rsid w:val="00A1368F"/>
    <w:rsid w:val="00A13A13"/>
    <w:rsid w:val="00A143EA"/>
    <w:rsid w:val="00A14820"/>
    <w:rsid w:val="00A14B87"/>
    <w:rsid w:val="00A157D6"/>
    <w:rsid w:val="00A20E12"/>
    <w:rsid w:val="00A21AA3"/>
    <w:rsid w:val="00A231C6"/>
    <w:rsid w:val="00A2337B"/>
    <w:rsid w:val="00A23F89"/>
    <w:rsid w:val="00A24B5F"/>
    <w:rsid w:val="00A30585"/>
    <w:rsid w:val="00A308C2"/>
    <w:rsid w:val="00A31847"/>
    <w:rsid w:val="00A31CB3"/>
    <w:rsid w:val="00A31E7A"/>
    <w:rsid w:val="00A32A3E"/>
    <w:rsid w:val="00A33094"/>
    <w:rsid w:val="00A337F0"/>
    <w:rsid w:val="00A33CEF"/>
    <w:rsid w:val="00A35A25"/>
    <w:rsid w:val="00A36537"/>
    <w:rsid w:val="00A368A0"/>
    <w:rsid w:val="00A37433"/>
    <w:rsid w:val="00A37AE4"/>
    <w:rsid w:val="00A37BEB"/>
    <w:rsid w:val="00A40316"/>
    <w:rsid w:val="00A4061A"/>
    <w:rsid w:val="00A41F73"/>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9C6"/>
    <w:rsid w:val="00A748E7"/>
    <w:rsid w:val="00A75234"/>
    <w:rsid w:val="00A7592D"/>
    <w:rsid w:val="00A76DC9"/>
    <w:rsid w:val="00A77CA9"/>
    <w:rsid w:val="00A80235"/>
    <w:rsid w:val="00A807E5"/>
    <w:rsid w:val="00A80D8C"/>
    <w:rsid w:val="00A825F5"/>
    <w:rsid w:val="00A82AFC"/>
    <w:rsid w:val="00A8442E"/>
    <w:rsid w:val="00A84764"/>
    <w:rsid w:val="00A85332"/>
    <w:rsid w:val="00A86AEC"/>
    <w:rsid w:val="00A86FC4"/>
    <w:rsid w:val="00A879F2"/>
    <w:rsid w:val="00A90BF4"/>
    <w:rsid w:val="00A91097"/>
    <w:rsid w:val="00A921F1"/>
    <w:rsid w:val="00A95FCE"/>
    <w:rsid w:val="00A9677A"/>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14F6"/>
    <w:rsid w:val="00AB2D38"/>
    <w:rsid w:val="00AB39F9"/>
    <w:rsid w:val="00AB3DC3"/>
    <w:rsid w:val="00AB4A45"/>
    <w:rsid w:val="00AB58E3"/>
    <w:rsid w:val="00AB623D"/>
    <w:rsid w:val="00AB75C0"/>
    <w:rsid w:val="00AB7B96"/>
    <w:rsid w:val="00AC145B"/>
    <w:rsid w:val="00AC1501"/>
    <w:rsid w:val="00AC1D45"/>
    <w:rsid w:val="00AC34FC"/>
    <w:rsid w:val="00AD053D"/>
    <w:rsid w:val="00AD0F57"/>
    <w:rsid w:val="00AD2020"/>
    <w:rsid w:val="00AD269F"/>
    <w:rsid w:val="00AD4BB2"/>
    <w:rsid w:val="00AD5FF9"/>
    <w:rsid w:val="00AD604F"/>
    <w:rsid w:val="00AD7C6A"/>
    <w:rsid w:val="00AE1C74"/>
    <w:rsid w:val="00AE29D0"/>
    <w:rsid w:val="00AE2E73"/>
    <w:rsid w:val="00AF1702"/>
    <w:rsid w:val="00AF2842"/>
    <w:rsid w:val="00AF3B54"/>
    <w:rsid w:val="00AF49C2"/>
    <w:rsid w:val="00AF4D5D"/>
    <w:rsid w:val="00B00676"/>
    <w:rsid w:val="00B02AEC"/>
    <w:rsid w:val="00B03C1F"/>
    <w:rsid w:val="00B050E9"/>
    <w:rsid w:val="00B05710"/>
    <w:rsid w:val="00B0626C"/>
    <w:rsid w:val="00B067E2"/>
    <w:rsid w:val="00B1126F"/>
    <w:rsid w:val="00B1132E"/>
    <w:rsid w:val="00B12819"/>
    <w:rsid w:val="00B13409"/>
    <w:rsid w:val="00B13A64"/>
    <w:rsid w:val="00B13F46"/>
    <w:rsid w:val="00B152EC"/>
    <w:rsid w:val="00B15E13"/>
    <w:rsid w:val="00B16E83"/>
    <w:rsid w:val="00B173C1"/>
    <w:rsid w:val="00B1770D"/>
    <w:rsid w:val="00B20C8F"/>
    <w:rsid w:val="00B22158"/>
    <w:rsid w:val="00B224A3"/>
    <w:rsid w:val="00B22FED"/>
    <w:rsid w:val="00B23939"/>
    <w:rsid w:val="00B23C42"/>
    <w:rsid w:val="00B23DA4"/>
    <w:rsid w:val="00B25DBD"/>
    <w:rsid w:val="00B2617E"/>
    <w:rsid w:val="00B26414"/>
    <w:rsid w:val="00B26680"/>
    <w:rsid w:val="00B3274A"/>
    <w:rsid w:val="00B331BD"/>
    <w:rsid w:val="00B34CDE"/>
    <w:rsid w:val="00B35504"/>
    <w:rsid w:val="00B363D0"/>
    <w:rsid w:val="00B40B1F"/>
    <w:rsid w:val="00B45317"/>
    <w:rsid w:val="00B52708"/>
    <w:rsid w:val="00B52D3D"/>
    <w:rsid w:val="00B53FEF"/>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215"/>
    <w:rsid w:val="00B76C5F"/>
    <w:rsid w:val="00B81961"/>
    <w:rsid w:val="00B81A72"/>
    <w:rsid w:val="00B821CC"/>
    <w:rsid w:val="00B83419"/>
    <w:rsid w:val="00B8455B"/>
    <w:rsid w:val="00B86645"/>
    <w:rsid w:val="00B87E36"/>
    <w:rsid w:val="00B87ECD"/>
    <w:rsid w:val="00B9172C"/>
    <w:rsid w:val="00B91A4D"/>
    <w:rsid w:val="00B91CB1"/>
    <w:rsid w:val="00B91F33"/>
    <w:rsid w:val="00B92BD7"/>
    <w:rsid w:val="00B930C0"/>
    <w:rsid w:val="00B935D8"/>
    <w:rsid w:val="00B937C1"/>
    <w:rsid w:val="00B9388E"/>
    <w:rsid w:val="00B94D8B"/>
    <w:rsid w:val="00B95143"/>
    <w:rsid w:val="00B9533B"/>
    <w:rsid w:val="00B96081"/>
    <w:rsid w:val="00B961F2"/>
    <w:rsid w:val="00B97C17"/>
    <w:rsid w:val="00BA03C3"/>
    <w:rsid w:val="00BA0AF5"/>
    <w:rsid w:val="00BA0DA1"/>
    <w:rsid w:val="00BA1170"/>
    <w:rsid w:val="00BA1CC6"/>
    <w:rsid w:val="00BA1F06"/>
    <w:rsid w:val="00BA35EB"/>
    <w:rsid w:val="00BA3DCF"/>
    <w:rsid w:val="00BA3FD2"/>
    <w:rsid w:val="00BA4C45"/>
    <w:rsid w:val="00BA5AD9"/>
    <w:rsid w:val="00BA7DE1"/>
    <w:rsid w:val="00BA7EC1"/>
    <w:rsid w:val="00BB157B"/>
    <w:rsid w:val="00BB4043"/>
    <w:rsid w:val="00BB43F8"/>
    <w:rsid w:val="00BB4D83"/>
    <w:rsid w:val="00BB723A"/>
    <w:rsid w:val="00BC023E"/>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30C"/>
    <w:rsid w:val="00BF1A9B"/>
    <w:rsid w:val="00BF1EDB"/>
    <w:rsid w:val="00BF2A13"/>
    <w:rsid w:val="00BF3DDD"/>
    <w:rsid w:val="00BF426D"/>
    <w:rsid w:val="00BF7040"/>
    <w:rsid w:val="00C02AF2"/>
    <w:rsid w:val="00C03337"/>
    <w:rsid w:val="00C05809"/>
    <w:rsid w:val="00C058A0"/>
    <w:rsid w:val="00C059CD"/>
    <w:rsid w:val="00C0625B"/>
    <w:rsid w:val="00C07550"/>
    <w:rsid w:val="00C12015"/>
    <w:rsid w:val="00C12936"/>
    <w:rsid w:val="00C14964"/>
    <w:rsid w:val="00C1527F"/>
    <w:rsid w:val="00C155A2"/>
    <w:rsid w:val="00C17C1F"/>
    <w:rsid w:val="00C17DFF"/>
    <w:rsid w:val="00C17FAB"/>
    <w:rsid w:val="00C22E50"/>
    <w:rsid w:val="00C24EA8"/>
    <w:rsid w:val="00C274E3"/>
    <w:rsid w:val="00C27621"/>
    <w:rsid w:val="00C31C1E"/>
    <w:rsid w:val="00C3200C"/>
    <w:rsid w:val="00C32216"/>
    <w:rsid w:val="00C32D59"/>
    <w:rsid w:val="00C35C3A"/>
    <w:rsid w:val="00C37CD7"/>
    <w:rsid w:val="00C40C53"/>
    <w:rsid w:val="00C4146A"/>
    <w:rsid w:val="00C42C4E"/>
    <w:rsid w:val="00C43B05"/>
    <w:rsid w:val="00C44852"/>
    <w:rsid w:val="00C46EC3"/>
    <w:rsid w:val="00C47706"/>
    <w:rsid w:val="00C477AC"/>
    <w:rsid w:val="00C479F3"/>
    <w:rsid w:val="00C506CA"/>
    <w:rsid w:val="00C50887"/>
    <w:rsid w:val="00C52BB9"/>
    <w:rsid w:val="00C52C7B"/>
    <w:rsid w:val="00C554A8"/>
    <w:rsid w:val="00C57FB8"/>
    <w:rsid w:val="00C60EF9"/>
    <w:rsid w:val="00C6292E"/>
    <w:rsid w:val="00C63BA8"/>
    <w:rsid w:val="00C657AB"/>
    <w:rsid w:val="00C66A00"/>
    <w:rsid w:val="00C722D6"/>
    <w:rsid w:val="00C72B3A"/>
    <w:rsid w:val="00C73F37"/>
    <w:rsid w:val="00C75106"/>
    <w:rsid w:val="00C75BB1"/>
    <w:rsid w:val="00C808A9"/>
    <w:rsid w:val="00C80F26"/>
    <w:rsid w:val="00C81EC9"/>
    <w:rsid w:val="00C82A20"/>
    <w:rsid w:val="00C82F58"/>
    <w:rsid w:val="00C8333A"/>
    <w:rsid w:val="00C834C4"/>
    <w:rsid w:val="00C84AB6"/>
    <w:rsid w:val="00C851BF"/>
    <w:rsid w:val="00C8576A"/>
    <w:rsid w:val="00C87F62"/>
    <w:rsid w:val="00C90593"/>
    <w:rsid w:val="00C929EB"/>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B7FD8"/>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6104"/>
    <w:rsid w:val="00CE6277"/>
    <w:rsid w:val="00CE6AA6"/>
    <w:rsid w:val="00CF052E"/>
    <w:rsid w:val="00CF0EDF"/>
    <w:rsid w:val="00CF1E17"/>
    <w:rsid w:val="00CF5835"/>
    <w:rsid w:val="00CF58A4"/>
    <w:rsid w:val="00CF6A66"/>
    <w:rsid w:val="00D00ACC"/>
    <w:rsid w:val="00D00F00"/>
    <w:rsid w:val="00D02E04"/>
    <w:rsid w:val="00D045F9"/>
    <w:rsid w:val="00D056FA"/>
    <w:rsid w:val="00D05DE2"/>
    <w:rsid w:val="00D062B1"/>
    <w:rsid w:val="00D06425"/>
    <w:rsid w:val="00D06680"/>
    <w:rsid w:val="00D078FD"/>
    <w:rsid w:val="00D0792E"/>
    <w:rsid w:val="00D07D29"/>
    <w:rsid w:val="00D11E8A"/>
    <w:rsid w:val="00D170DA"/>
    <w:rsid w:val="00D17339"/>
    <w:rsid w:val="00D1789C"/>
    <w:rsid w:val="00D209F7"/>
    <w:rsid w:val="00D20ED3"/>
    <w:rsid w:val="00D233CC"/>
    <w:rsid w:val="00D27E05"/>
    <w:rsid w:val="00D30BBB"/>
    <w:rsid w:val="00D31F28"/>
    <w:rsid w:val="00D3251A"/>
    <w:rsid w:val="00D33075"/>
    <w:rsid w:val="00D33162"/>
    <w:rsid w:val="00D361C0"/>
    <w:rsid w:val="00D3637F"/>
    <w:rsid w:val="00D402A9"/>
    <w:rsid w:val="00D40669"/>
    <w:rsid w:val="00D41308"/>
    <w:rsid w:val="00D4169E"/>
    <w:rsid w:val="00D42F2C"/>
    <w:rsid w:val="00D43150"/>
    <w:rsid w:val="00D43A4C"/>
    <w:rsid w:val="00D444AE"/>
    <w:rsid w:val="00D4458E"/>
    <w:rsid w:val="00D44828"/>
    <w:rsid w:val="00D46441"/>
    <w:rsid w:val="00D47AF5"/>
    <w:rsid w:val="00D52CFC"/>
    <w:rsid w:val="00D53FFB"/>
    <w:rsid w:val="00D5512E"/>
    <w:rsid w:val="00D56655"/>
    <w:rsid w:val="00D61B0F"/>
    <w:rsid w:val="00D633FF"/>
    <w:rsid w:val="00D645F5"/>
    <w:rsid w:val="00D65A5B"/>
    <w:rsid w:val="00D669D3"/>
    <w:rsid w:val="00D66B91"/>
    <w:rsid w:val="00D66BC5"/>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5D64"/>
    <w:rsid w:val="00DC68FE"/>
    <w:rsid w:val="00DC6DF4"/>
    <w:rsid w:val="00DD028F"/>
    <w:rsid w:val="00DD0613"/>
    <w:rsid w:val="00DD16BD"/>
    <w:rsid w:val="00DD19EA"/>
    <w:rsid w:val="00DD1DEF"/>
    <w:rsid w:val="00DD1F37"/>
    <w:rsid w:val="00DD3C82"/>
    <w:rsid w:val="00DD46DF"/>
    <w:rsid w:val="00DD5668"/>
    <w:rsid w:val="00DD57BC"/>
    <w:rsid w:val="00DD5F7A"/>
    <w:rsid w:val="00DD7132"/>
    <w:rsid w:val="00DE1952"/>
    <w:rsid w:val="00DE258D"/>
    <w:rsid w:val="00DE2619"/>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829"/>
    <w:rsid w:val="00E03F25"/>
    <w:rsid w:val="00E0407B"/>
    <w:rsid w:val="00E06055"/>
    <w:rsid w:val="00E06470"/>
    <w:rsid w:val="00E06E03"/>
    <w:rsid w:val="00E0707A"/>
    <w:rsid w:val="00E1280F"/>
    <w:rsid w:val="00E13113"/>
    <w:rsid w:val="00E13316"/>
    <w:rsid w:val="00E1404A"/>
    <w:rsid w:val="00E147E7"/>
    <w:rsid w:val="00E149E7"/>
    <w:rsid w:val="00E14F0B"/>
    <w:rsid w:val="00E16112"/>
    <w:rsid w:val="00E16973"/>
    <w:rsid w:val="00E17C52"/>
    <w:rsid w:val="00E206F5"/>
    <w:rsid w:val="00E20DC9"/>
    <w:rsid w:val="00E222DE"/>
    <w:rsid w:val="00E24F09"/>
    <w:rsid w:val="00E274AE"/>
    <w:rsid w:val="00E27D64"/>
    <w:rsid w:val="00E27E2B"/>
    <w:rsid w:val="00E27F4F"/>
    <w:rsid w:val="00E3181D"/>
    <w:rsid w:val="00E32990"/>
    <w:rsid w:val="00E360B8"/>
    <w:rsid w:val="00E36ED1"/>
    <w:rsid w:val="00E409D3"/>
    <w:rsid w:val="00E417CF"/>
    <w:rsid w:val="00E41BF1"/>
    <w:rsid w:val="00E41EA1"/>
    <w:rsid w:val="00E41F7A"/>
    <w:rsid w:val="00E424A8"/>
    <w:rsid w:val="00E4252F"/>
    <w:rsid w:val="00E458FC"/>
    <w:rsid w:val="00E4618B"/>
    <w:rsid w:val="00E46976"/>
    <w:rsid w:val="00E479AB"/>
    <w:rsid w:val="00E479C0"/>
    <w:rsid w:val="00E5034E"/>
    <w:rsid w:val="00E575D6"/>
    <w:rsid w:val="00E60393"/>
    <w:rsid w:val="00E609DC"/>
    <w:rsid w:val="00E613E2"/>
    <w:rsid w:val="00E61BFA"/>
    <w:rsid w:val="00E61D16"/>
    <w:rsid w:val="00E629E1"/>
    <w:rsid w:val="00E6321E"/>
    <w:rsid w:val="00E63564"/>
    <w:rsid w:val="00E637F9"/>
    <w:rsid w:val="00E63E75"/>
    <w:rsid w:val="00E63F7F"/>
    <w:rsid w:val="00E651A6"/>
    <w:rsid w:val="00E65757"/>
    <w:rsid w:val="00E661F9"/>
    <w:rsid w:val="00E679E7"/>
    <w:rsid w:val="00E67ECC"/>
    <w:rsid w:val="00E71B2C"/>
    <w:rsid w:val="00E71B48"/>
    <w:rsid w:val="00E726E3"/>
    <w:rsid w:val="00E72C71"/>
    <w:rsid w:val="00E73DED"/>
    <w:rsid w:val="00E76DFA"/>
    <w:rsid w:val="00E7778D"/>
    <w:rsid w:val="00E778A9"/>
    <w:rsid w:val="00E80560"/>
    <w:rsid w:val="00E806B9"/>
    <w:rsid w:val="00E81B06"/>
    <w:rsid w:val="00E81E31"/>
    <w:rsid w:val="00E83C53"/>
    <w:rsid w:val="00E84FA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55D6"/>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173A"/>
    <w:rsid w:val="00EE37D0"/>
    <w:rsid w:val="00EE4321"/>
    <w:rsid w:val="00EF03E7"/>
    <w:rsid w:val="00EF0DC3"/>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AEC"/>
    <w:rsid w:val="00F27F75"/>
    <w:rsid w:val="00F30190"/>
    <w:rsid w:val="00F3030F"/>
    <w:rsid w:val="00F30C65"/>
    <w:rsid w:val="00F30F29"/>
    <w:rsid w:val="00F332BE"/>
    <w:rsid w:val="00F3595B"/>
    <w:rsid w:val="00F35A26"/>
    <w:rsid w:val="00F36E2A"/>
    <w:rsid w:val="00F3759E"/>
    <w:rsid w:val="00F379C4"/>
    <w:rsid w:val="00F42C5F"/>
    <w:rsid w:val="00F43BF2"/>
    <w:rsid w:val="00F4479C"/>
    <w:rsid w:val="00F453B4"/>
    <w:rsid w:val="00F474C3"/>
    <w:rsid w:val="00F51A08"/>
    <w:rsid w:val="00F53278"/>
    <w:rsid w:val="00F537D8"/>
    <w:rsid w:val="00F543E0"/>
    <w:rsid w:val="00F54B54"/>
    <w:rsid w:val="00F557ED"/>
    <w:rsid w:val="00F55B72"/>
    <w:rsid w:val="00F577B8"/>
    <w:rsid w:val="00F57867"/>
    <w:rsid w:val="00F579B1"/>
    <w:rsid w:val="00F57C18"/>
    <w:rsid w:val="00F607BB"/>
    <w:rsid w:val="00F61197"/>
    <w:rsid w:val="00F62177"/>
    <w:rsid w:val="00F627D5"/>
    <w:rsid w:val="00F63848"/>
    <w:rsid w:val="00F64241"/>
    <w:rsid w:val="00F643CF"/>
    <w:rsid w:val="00F65B36"/>
    <w:rsid w:val="00F65E7B"/>
    <w:rsid w:val="00F65EE0"/>
    <w:rsid w:val="00F660C3"/>
    <w:rsid w:val="00F67262"/>
    <w:rsid w:val="00F67388"/>
    <w:rsid w:val="00F677AE"/>
    <w:rsid w:val="00F715FB"/>
    <w:rsid w:val="00F72EB1"/>
    <w:rsid w:val="00F73852"/>
    <w:rsid w:val="00F74D04"/>
    <w:rsid w:val="00F773CD"/>
    <w:rsid w:val="00F808D7"/>
    <w:rsid w:val="00F84ABC"/>
    <w:rsid w:val="00F85894"/>
    <w:rsid w:val="00F879D2"/>
    <w:rsid w:val="00F90096"/>
    <w:rsid w:val="00F9099C"/>
    <w:rsid w:val="00F941DB"/>
    <w:rsid w:val="00F9523F"/>
    <w:rsid w:val="00F95316"/>
    <w:rsid w:val="00F973B1"/>
    <w:rsid w:val="00F97DD6"/>
    <w:rsid w:val="00FA183A"/>
    <w:rsid w:val="00FA18DC"/>
    <w:rsid w:val="00FA1CDD"/>
    <w:rsid w:val="00FA2C61"/>
    <w:rsid w:val="00FA52BB"/>
    <w:rsid w:val="00FA61F4"/>
    <w:rsid w:val="00FA6211"/>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4A6E"/>
    <w:rsid w:val="00FC5595"/>
    <w:rsid w:val="00FC6F80"/>
    <w:rsid w:val="00FD083A"/>
    <w:rsid w:val="00FD0D4E"/>
    <w:rsid w:val="00FD157D"/>
    <w:rsid w:val="00FD2458"/>
    <w:rsid w:val="00FD4305"/>
    <w:rsid w:val="00FD5B74"/>
    <w:rsid w:val="00FD702B"/>
    <w:rsid w:val="00FD75A6"/>
    <w:rsid w:val="00FE0F86"/>
    <w:rsid w:val="00FE1D79"/>
    <w:rsid w:val="00FE2704"/>
    <w:rsid w:val="00FE2B4E"/>
    <w:rsid w:val="00FE31D9"/>
    <w:rsid w:val="00FE31E6"/>
    <w:rsid w:val="00FE36FB"/>
    <w:rsid w:val="00FE4FBA"/>
    <w:rsid w:val="00FE6989"/>
    <w:rsid w:val="00FE6F34"/>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2CD5E7"/>
  <w15:docId w15:val="{40007073-E6CF-4C0D-B5F9-01E9381A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Zkladnodstavec">
    <w:name w:val="[Základní odstavec]"/>
    <w:basedOn w:val="Normln"/>
    <w:uiPriority w:val="99"/>
    <w:rsid w:val="00B95143"/>
    <w:pPr>
      <w:widowControl w:val="0"/>
      <w:autoSpaceDE w:val="0"/>
      <w:autoSpaceDN w:val="0"/>
      <w:adjustRightInd w:val="0"/>
      <w:spacing w:line="288" w:lineRule="auto"/>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242">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717585102">
      <w:bodyDiv w:val="1"/>
      <w:marLeft w:val="0"/>
      <w:marRight w:val="0"/>
      <w:marTop w:val="0"/>
      <w:marBottom w:val="0"/>
      <w:divBdr>
        <w:top w:val="none" w:sz="0" w:space="0" w:color="auto"/>
        <w:left w:val="none" w:sz="0" w:space="0" w:color="auto"/>
        <w:bottom w:val="none" w:sz="0" w:space="0" w:color="auto"/>
        <w:right w:val="none" w:sz="0" w:space="0" w:color="auto"/>
      </w:divBdr>
    </w:div>
    <w:div w:id="1084838212">
      <w:bodyDiv w:val="1"/>
      <w:marLeft w:val="0"/>
      <w:marRight w:val="0"/>
      <w:marTop w:val="0"/>
      <w:marBottom w:val="0"/>
      <w:divBdr>
        <w:top w:val="none" w:sz="0" w:space="0" w:color="auto"/>
        <w:left w:val="none" w:sz="0" w:space="0" w:color="auto"/>
        <w:bottom w:val="none" w:sz="0" w:space="0" w:color="auto"/>
        <w:right w:val="none" w:sz="0" w:space="0" w:color="auto"/>
      </w:divBdr>
    </w:div>
    <w:div w:id="1289163047">
      <w:bodyDiv w:val="1"/>
      <w:marLeft w:val="0"/>
      <w:marRight w:val="0"/>
      <w:marTop w:val="0"/>
      <w:marBottom w:val="0"/>
      <w:divBdr>
        <w:top w:val="none" w:sz="0" w:space="0" w:color="auto"/>
        <w:left w:val="none" w:sz="0" w:space="0" w:color="auto"/>
        <w:bottom w:val="none" w:sz="0" w:space="0" w:color="auto"/>
        <w:right w:val="none" w:sz="0" w:space="0" w:color="auto"/>
      </w:divBdr>
    </w:div>
    <w:div w:id="1314724826">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8720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CA85-70A9-40B8-8DBE-18B4478E8BA7}">
  <ds:schemaRefs>
    <ds:schemaRef ds:uri="http://schemas.openxmlformats.org/officeDocument/2006/bibliography"/>
  </ds:schemaRefs>
</ds:datastoreItem>
</file>

<file path=customXml/itemProps10.xml><?xml version="1.0" encoding="utf-8"?>
<ds:datastoreItem xmlns:ds="http://schemas.openxmlformats.org/officeDocument/2006/customXml" ds:itemID="{AB326811-7811-4FD7-8E1C-E1E8B6F971BB}">
  <ds:schemaRefs>
    <ds:schemaRef ds:uri="http://schemas.openxmlformats.org/officeDocument/2006/bibliography"/>
  </ds:schemaRefs>
</ds:datastoreItem>
</file>

<file path=customXml/itemProps11.xml><?xml version="1.0" encoding="utf-8"?>
<ds:datastoreItem xmlns:ds="http://schemas.openxmlformats.org/officeDocument/2006/customXml" ds:itemID="{E2A9FFAD-C15B-412E-AEFA-D987AAFFCA0D}">
  <ds:schemaRefs>
    <ds:schemaRef ds:uri="http://schemas.openxmlformats.org/officeDocument/2006/bibliography"/>
  </ds:schemaRefs>
</ds:datastoreItem>
</file>

<file path=customXml/itemProps12.xml><?xml version="1.0" encoding="utf-8"?>
<ds:datastoreItem xmlns:ds="http://schemas.openxmlformats.org/officeDocument/2006/customXml" ds:itemID="{F299890C-CCA8-468B-B0ED-6F4A1144412D}">
  <ds:schemaRefs>
    <ds:schemaRef ds:uri="http://schemas.openxmlformats.org/officeDocument/2006/bibliography"/>
  </ds:schemaRefs>
</ds:datastoreItem>
</file>

<file path=customXml/itemProps13.xml><?xml version="1.0" encoding="utf-8"?>
<ds:datastoreItem xmlns:ds="http://schemas.openxmlformats.org/officeDocument/2006/customXml" ds:itemID="{56893235-D839-4E65-86B5-F2CE0A628437}">
  <ds:schemaRefs>
    <ds:schemaRef ds:uri="http://schemas.openxmlformats.org/officeDocument/2006/bibliography"/>
  </ds:schemaRefs>
</ds:datastoreItem>
</file>

<file path=customXml/itemProps14.xml><?xml version="1.0" encoding="utf-8"?>
<ds:datastoreItem xmlns:ds="http://schemas.openxmlformats.org/officeDocument/2006/customXml" ds:itemID="{73CD12FD-1DB9-4854-BBF1-43DA63426016}">
  <ds:schemaRefs>
    <ds:schemaRef ds:uri="http://schemas.openxmlformats.org/officeDocument/2006/bibliography"/>
  </ds:schemaRefs>
</ds:datastoreItem>
</file>

<file path=customXml/itemProps15.xml><?xml version="1.0" encoding="utf-8"?>
<ds:datastoreItem xmlns:ds="http://schemas.openxmlformats.org/officeDocument/2006/customXml" ds:itemID="{92F4E038-391E-4EFE-A417-593A1E47DC5F}">
  <ds:schemaRefs>
    <ds:schemaRef ds:uri="http://schemas.openxmlformats.org/officeDocument/2006/bibliography"/>
  </ds:schemaRefs>
</ds:datastoreItem>
</file>

<file path=customXml/itemProps16.xml><?xml version="1.0" encoding="utf-8"?>
<ds:datastoreItem xmlns:ds="http://schemas.openxmlformats.org/officeDocument/2006/customXml" ds:itemID="{46EF1458-ADAC-4D77-8540-B9F8A5FB6969}">
  <ds:schemaRefs>
    <ds:schemaRef ds:uri="http://schemas.openxmlformats.org/officeDocument/2006/bibliography"/>
  </ds:schemaRefs>
</ds:datastoreItem>
</file>

<file path=customXml/itemProps17.xml><?xml version="1.0" encoding="utf-8"?>
<ds:datastoreItem xmlns:ds="http://schemas.openxmlformats.org/officeDocument/2006/customXml" ds:itemID="{A896F366-A122-4FCE-9D6C-43AEE520C8DF}">
  <ds:schemaRefs>
    <ds:schemaRef ds:uri="http://schemas.openxmlformats.org/officeDocument/2006/bibliography"/>
  </ds:schemaRefs>
</ds:datastoreItem>
</file>

<file path=customXml/itemProps18.xml><?xml version="1.0" encoding="utf-8"?>
<ds:datastoreItem xmlns:ds="http://schemas.openxmlformats.org/officeDocument/2006/customXml" ds:itemID="{4549CC68-2C4B-4240-BDDF-E09BCAC64EA4}">
  <ds:schemaRefs>
    <ds:schemaRef ds:uri="http://schemas.openxmlformats.org/officeDocument/2006/bibliography"/>
  </ds:schemaRefs>
</ds:datastoreItem>
</file>

<file path=customXml/itemProps19.xml><?xml version="1.0" encoding="utf-8"?>
<ds:datastoreItem xmlns:ds="http://schemas.openxmlformats.org/officeDocument/2006/customXml" ds:itemID="{0D40F466-35E0-4A62-8388-D48F1F4B9652}">
  <ds:schemaRefs>
    <ds:schemaRef ds:uri="http://schemas.openxmlformats.org/officeDocument/2006/bibliography"/>
  </ds:schemaRefs>
</ds:datastoreItem>
</file>

<file path=customXml/itemProps2.xml><?xml version="1.0" encoding="utf-8"?>
<ds:datastoreItem xmlns:ds="http://schemas.openxmlformats.org/officeDocument/2006/customXml" ds:itemID="{A3E3027B-F342-494D-8AA0-C4E4B96C2953}">
  <ds:schemaRefs>
    <ds:schemaRef ds:uri="http://schemas.openxmlformats.org/officeDocument/2006/bibliography"/>
  </ds:schemaRefs>
</ds:datastoreItem>
</file>

<file path=customXml/itemProps20.xml><?xml version="1.0" encoding="utf-8"?>
<ds:datastoreItem xmlns:ds="http://schemas.openxmlformats.org/officeDocument/2006/customXml" ds:itemID="{9EFF9988-A0FB-4F6C-B7DF-FD10DA6C2C0F}">
  <ds:schemaRefs>
    <ds:schemaRef ds:uri="http://schemas.openxmlformats.org/officeDocument/2006/bibliography"/>
  </ds:schemaRefs>
</ds:datastoreItem>
</file>

<file path=customXml/itemProps21.xml><?xml version="1.0" encoding="utf-8"?>
<ds:datastoreItem xmlns:ds="http://schemas.openxmlformats.org/officeDocument/2006/customXml" ds:itemID="{1B191919-B49C-4674-8B2B-9BB2426B5C10}">
  <ds:schemaRefs>
    <ds:schemaRef ds:uri="http://schemas.openxmlformats.org/officeDocument/2006/bibliography"/>
  </ds:schemaRefs>
</ds:datastoreItem>
</file>

<file path=customXml/itemProps22.xml><?xml version="1.0" encoding="utf-8"?>
<ds:datastoreItem xmlns:ds="http://schemas.openxmlformats.org/officeDocument/2006/customXml" ds:itemID="{D33B7B62-82F7-42DC-9BD8-B477B1A57D13}">
  <ds:schemaRefs>
    <ds:schemaRef ds:uri="http://schemas.openxmlformats.org/officeDocument/2006/bibliography"/>
  </ds:schemaRefs>
</ds:datastoreItem>
</file>

<file path=customXml/itemProps3.xml><?xml version="1.0" encoding="utf-8"?>
<ds:datastoreItem xmlns:ds="http://schemas.openxmlformats.org/officeDocument/2006/customXml" ds:itemID="{1664E1FD-4608-4A48-A08E-9C66A0353430}">
  <ds:schemaRefs>
    <ds:schemaRef ds:uri="http://schemas.openxmlformats.org/officeDocument/2006/bibliography"/>
  </ds:schemaRefs>
</ds:datastoreItem>
</file>

<file path=customXml/itemProps4.xml><?xml version="1.0" encoding="utf-8"?>
<ds:datastoreItem xmlns:ds="http://schemas.openxmlformats.org/officeDocument/2006/customXml" ds:itemID="{6B3995C7-0E18-4CF1-9A81-72F4435AF179}">
  <ds:schemaRefs>
    <ds:schemaRef ds:uri="http://schemas.openxmlformats.org/officeDocument/2006/bibliography"/>
  </ds:schemaRefs>
</ds:datastoreItem>
</file>

<file path=customXml/itemProps5.xml><?xml version="1.0" encoding="utf-8"?>
<ds:datastoreItem xmlns:ds="http://schemas.openxmlformats.org/officeDocument/2006/customXml" ds:itemID="{AE9E8535-7183-4A68-B2FC-81C46FC42BF9}">
  <ds:schemaRefs>
    <ds:schemaRef ds:uri="http://schemas.openxmlformats.org/officeDocument/2006/bibliography"/>
  </ds:schemaRefs>
</ds:datastoreItem>
</file>

<file path=customXml/itemProps6.xml><?xml version="1.0" encoding="utf-8"?>
<ds:datastoreItem xmlns:ds="http://schemas.openxmlformats.org/officeDocument/2006/customXml" ds:itemID="{EE5F7301-06EE-4B46-AB41-ED1849287A10}">
  <ds:schemaRefs>
    <ds:schemaRef ds:uri="http://schemas.openxmlformats.org/officeDocument/2006/bibliography"/>
  </ds:schemaRefs>
</ds:datastoreItem>
</file>

<file path=customXml/itemProps7.xml><?xml version="1.0" encoding="utf-8"?>
<ds:datastoreItem xmlns:ds="http://schemas.openxmlformats.org/officeDocument/2006/customXml" ds:itemID="{36EF1115-2EE4-41C4-A6D5-D8B63C292E50}">
  <ds:schemaRefs>
    <ds:schemaRef ds:uri="http://schemas.openxmlformats.org/officeDocument/2006/bibliography"/>
  </ds:schemaRefs>
</ds:datastoreItem>
</file>

<file path=customXml/itemProps8.xml><?xml version="1.0" encoding="utf-8"?>
<ds:datastoreItem xmlns:ds="http://schemas.openxmlformats.org/officeDocument/2006/customXml" ds:itemID="{F34E7CD9-BA30-40C7-A29B-76FA6EF60946}">
  <ds:schemaRefs>
    <ds:schemaRef ds:uri="http://schemas.openxmlformats.org/officeDocument/2006/bibliography"/>
  </ds:schemaRefs>
</ds:datastoreItem>
</file>

<file path=customXml/itemProps9.xml><?xml version="1.0" encoding="utf-8"?>
<ds:datastoreItem xmlns:ds="http://schemas.openxmlformats.org/officeDocument/2006/customXml" ds:itemID="{D70F3BA2-B1A2-45AF-A726-79CEDC54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2688</Words>
  <Characters>15863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14</cp:revision>
  <cp:lastPrinted>2015-09-16T08:02:00Z</cp:lastPrinted>
  <dcterms:created xsi:type="dcterms:W3CDTF">2016-12-14T21:18:00Z</dcterms:created>
  <dcterms:modified xsi:type="dcterms:W3CDTF">2018-11-01T07:05:00Z</dcterms:modified>
</cp:coreProperties>
</file>