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E5" w:rsidRDefault="00FF4CE5" w:rsidP="00FF4CE5">
      <w:pPr>
        <w:rPr>
          <w:rFonts w:asciiTheme="majorHAnsi" w:hAnsiTheme="majorHAnsi" w:cs="MyriadPro-Black"/>
          <w:caps/>
          <w:sz w:val="40"/>
          <w:szCs w:val="60"/>
        </w:rPr>
      </w:pPr>
      <w:r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FF4CE5" w:rsidRDefault="00FF4CE5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>Specifická PRAVIDLA</w:t>
      </w:r>
    </w:p>
    <w:p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>PRO ŽADATELE A PŘÍJEMCE integrovan</w:t>
      </w:r>
      <w:r w:rsidR="002F4F25">
        <w:rPr>
          <w:rFonts w:ascii="Cambria" w:hAnsi="Cambria" w:cs="MyriadPro-Black"/>
          <w:caps/>
          <w:sz w:val="60"/>
          <w:szCs w:val="60"/>
        </w:rPr>
        <w:t>ÝCH</w:t>
      </w:r>
      <w:r>
        <w:rPr>
          <w:rFonts w:ascii="Cambria" w:hAnsi="Cambria" w:cs="MyriadPro-Black"/>
          <w:caps/>
          <w:sz w:val="60"/>
          <w:szCs w:val="60"/>
        </w:rPr>
        <w:t xml:space="preserve"> projekt</w:t>
      </w:r>
      <w:r w:rsidR="002F4F25">
        <w:rPr>
          <w:rFonts w:ascii="Cambria" w:hAnsi="Cambria" w:cs="MyriadPro-Black"/>
          <w:caps/>
          <w:sz w:val="60"/>
          <w:szCs w:val="60"/>
        </w:rPr>
        <w:t>Ů</w:t>
      </w:r>
      <w:r>
        <w:rPr>
          <w:rFonts w:ascii="Cambria" w:hAnsi="Cambria" w:cs="MyriadPro-Black"/>
          <w:caps/>
          <w:sz w:val="60"/>
          <w:szCs w:val="60"/>
        </w:rPr>
        <w:t xml:space="preserve"> </w:t>
      </w:r>
      <w:r w:rsidR="00687575">
        <w:rPr>
          <w:rFonts w:ascii="Cambria" w:hAnsi="Cambria" w:cs="MyriadPro-Black"/>
          <w:caps/>
          <w:sz w:val="60"/>
          <w:szCs w:val="60"/>
        </w:rPr>
        <w:t>CLLD</w:t>
      </w:r>
    </w:p>
    <w:p w:rsidR="00FF4CE5" w:rsidRDefault="00FF4CE5" w:rsidP="00FF4CE5"/>
    <w:p w:rsidR="00FF4CE5" w:rsidRDefault="00FF4CE5" w:rsidP="00FF4CE5"/>
    <w:p w:rsidR="00FF4CE5" w:rsidRDefault="00FF4CE5" w:rsidP="00FF4CE5">
      <w:pPr>
        <w:rPr>
          <w:rFonts w:cs="MyriadPro-Black"/>
          <w:caps/>
          <w:color w:val="A6A6A6"/>
          <w:sz w:val="40"/>
          <w:szCs w:val="40"/>
        </w:rPr>
      </w:pPr>
      <w:r>
        <w:rPr>
          <w:rFonts w:cs="MyriadPro-Black"/>
          <w:caps/>
          <w:color w:val="A6A6A6"/>
          <w:sz w:val="40"/>
          <w:szCs w:val="40"/>
        </w:rPr>
        <w:t xml:space="preserve">Specifický cíl </w:t>
      </w:r>
      <w:r w:rsidR="00715EBF">
        <w:rPr>
          <w:rFonts w:cs="MyriadPro-Black"/>
          <w:caps/>
          <w:color w:val="A6A6A6"/>
          <w:sz w:val="40"/>
          <w:szCs w:val="40"/>
        </w:rPr>
        <w:t>2</w:t>
      </w:r>
      <w:r>
        <w:rPr>
          <w:rFonts w:cs="MyriadPro-Black"/>
          <w:caps/>
          <w:color w:val="A6A6A6"/>
          <w:sz w:val="40"/>
          <w:szCs w:val="40"/>
        </w:rPr>
        <w:t>.</w:t>
      </w:r>
      <w:r w:rsidR="00DA53B7">
        <w:rPr>
          <w:rFonts w:cs="MyriadPro-Black"/>
          <w:caps/>
          <w:color w:val="A6A6A6"/>
          <w:sz w:val="40"/>
          <w:szCs w:val="40"/>
        </w:rPr>
        <w:t>2</w:t>
      </w:r>
    </w:p>
    <w:p w:rsidR="00FF4CE5" w:rsidRDefault="00FF4CE5" w:rsidP="00FF4CE5">
      <w:pPr>
        <w:rPr>
          <w:rFonts w:cs="Arial"/>
          <w:b/>
          <w:color w:val="A6A6A6"/>
          <w:sz w:val="40"/>
          <w:szCs w:val="40"/>
        </w:rPr>
      </w:pPr>
      <w:r>
        <w:rPr>
          <w:rFonts w:cs="MyriadPro-Black"/>
          <w:caps/>
          <w:color w:val="A6A6A6"/>
          <w:sz w:val="40"/>
          <w:szCs w:val="40"/>
        </w:rPr>
        <w:t xml:space="preserve">průběžná výzva Č. </w:t>
      </w:r>
      <w:r w:rsidR="00054512">
        <w:rPr>
          <w:rFonts w:cs="MyriadPro-Black"/>
          <w:caps/>
          <w:color w:val="A6A6A6"/>
          <w:sz w:val="40"/>
          <w:szCs w:val="40"/>
        </w:rPr>
        <w:t>6</w:t>
      </w:r>
      <w:r w:rsidR="00687575">
        <w:rPr>
          <w:rFonts w:cs="MyriadPro-Black"/>
          <w:caps/>
          <w:color w:val="A6A6A6"/>
          <w:sz w:val="40"/>
          <w:szCs w:val="40"/>
        </w:rPr>
        <w:t>5</w:t>
      </w:r>
    </w:p>
    <w:p w:rsidR="00FF4CE5" w:rsidRDefault="00FF4CE5" w:rsidP="00FF4CE5">
      <w:pPr>
        <w:spacing w:after="0"/>
        <w:rPr>
          <w:rFonts w:cs="Arial"/>
          <w:b/>
          <w:sz w:val="40"/>
          <w:szCs w:val="40"/>
        </w:rPr>
      </w:pPr>
    </w:p>
    <w:p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caps/>
          <w:sz w:val="40"/>
          <w:szCs w:val="40"/>
        </w:rPr>
        <w:t>PŘÍLOHA Č.</w:t>
      </w:r>
      <w:r>
        <w:rPr>
          <w:rFonts w:ascii="Cambria" w:hAnsi="Cambria" w:cs="MyriadPro-Black"/>
          <w:caps/>
          <w:color w:val="FF0000"/>
          <w:sz w:val="40"/>
          <w:szCs w:val="40"/>
        </w:rPr>
        <w:t xml:space="preserve"> </w:t>
      </w:r>
      <w:r w:rsidR="00112D03">
        <w:rPr>
          <w:rFonts w:ascii="Cambria" w:hAnsi="Cambria" w:cs="MyriadPro-Black"/>
          <w:caps/>
          <w:color w:val="auto"/>
          <w:sz w:val="40"/>
          <w:szCs w:val="40"/>
        </w:rPr>
        <w:t>6</w:t>
      </w:r>
    </w:p>
    <w:p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Dokladování způsobilých výdajů</w:t>
      </w:r>
    </w:p>
    <w:p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0B552A" w:rsidRDefault="000B552A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0B552A" w:rsidRDefault="000B552A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FF4CE5" w:rsidRDefault="000B552A">
      <w:pPr>
        <w:spacing w:line="276" w:lineRule="auto"/>
      </w:pPr>
      <w:r>
        <w:rPr>
          <w:rFonts w:cs="MyriadPro-Black"/>
          <w:caps/>
          <w:color w:val="A6A6A6"/>
          <w:sz w:val="32"/>
          <w:szCs w:val="40"/>
        </w:rPr>
        <w:t xml:space="preserve">pLATNOST OD </w:t>
      </w:r>
      <w:r w:rsidR="00054512">
        <w:rPr>
          <w:rFonts w:cs="MyriadPro-Black"/>
          <w:caps/>
          <w:color w:val="A6A6A6"/>
          <w:sz w:val="32"/>
          <w:szCs w:val="40"/>
        </w:rPr>
        <w:t>2. 12</w:t>
      </w:r>
      <w:r>
        <w:rPr>
          <w:rFonts w:cs="MyriadPro-Black"/>
          <w:caps/>
          <w:color w:val="A6A6A6"/>
          <w:sz w:val="32"/>
          <w:szCs w:val="40"/>
        </w:rPr>
        <w:t>. 2016</w:t>
      </w:r>
      <w:r w:rsidR="00FF4CE5">
        <w:br w:type="page"/>
      </w:r>
    </w:p>
    <w:p w:rsidR="00FF4CE5" w:rsidRDefault="00FF4CE5" w:rsidP="00FF4CE5">
      <w:pPr>
        <w:rPr>
          <w:b/>
        </w:rPr>
      </w:pPr>
      <w:r>
        <w:rPr>
          <w:b/>
        </w:rPr>
        <w:lastRenderedPageBreak/>
        <w:t>Dokladování způsobilých výdajů</w:t>
      </w:r>
      <w:r w:rsidR="00F63071">
        <w:rPr>
          <w:b/>
        </w:rPr>
        <w:t xml:space="preserve"> pro aktivitu </w:t>
      </w:r>
      <w:r w:rsidR="00DA53B7">
        <w:rPr>
          <w:b/>
        </w:rPr>
        <w:t>S</w:t>
      </w:r>
      <w:r w:rsidR="00F63071">
        <w:rPr>
          <w:b/>
        </w:rPr>
        <w:t xml:space="preserve">ociální </w:t>
      </w:r>
      <w:r w:rsidR="00DA53B7">
        <w:rPr>
          <w:b/>
        </w:rPr>
        <w:t>podnikání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2F35CE" w:rsidRPr="00A5788E" w:rsidTr="00855484">
        <w:trPr>
          <w:trHeight w:val="567"/>
        </w:trPr>
        <w:tc>
          <w:tcPr>
            <w:tcW w:w="19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5CE" w:rsidRPr="00A5788E" w:rsidRDefault="002F35CE" w:rsidP="00855484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sz w:val="22"/>
                <w:szCs w:val="22"/>
              </w:rPr>
              <w:t>Způsobilý výdaj</w:t>
            </w:r>
          </w:p>
        </w:tc>
        <w:tc>
          <w:tcPr>
            <w:tcW w:w="30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5CE" w:rsidRPr="00A5788E" w:rsidRDefault="002F35CE" w:rsidP="00855484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sz w:val="22"/>
                <w:szCs w:val="22"/>
              </w:rPr>
              <w:t>Dokladování</w:t>
            </w:r>
          </w:p>
        </w:tc>
      </w:tr>
      <w:tr w:rsidR="002F35CE" w:rsidRPr="00A5788E" w:rsidTr="00855484">
        <w:tc>
          <w:tcPr>
            <w:tcW w:w="19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sz w:val="22"/>
                <w:szCs w:val="22"/>
              </w:rPr>
              <w:t>Stavby a stavební úpravy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35"/>
              </w:numPr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5788E">
              <w:rPr>
                <w:b/>
                <w:sz w:val="22"/>
                <w:szCs w:val="22"/>
              </w:rPr>
              <w:t>stavba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35"/>
              </w:numPr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5788E">
              <w:rPr>
                <w:b/>
                <w:sz w:val="22"/>
                <w:szCs w:val="22"/>
              </w:rPr>
              <w:t>výdaje na technické zhodnocení dlouhodobého majetku, tj. nástavby, přístavby, stavební úpravy, rekonstrukce a modernizace</w:t>
            </w:r>
          </w:p>
          <w:p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5CE" w:rsidRPr="00A5788E" w:rsidRDefault="002F35CE" w:rsidP="002F35CE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 xml:space="preserve">účetní/daňové doklady s identifikací předmětu plnění pro posouzení způsobilosti výdaje; 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pokud nelze posoudit způsobilost výdaje podle identifikace předmětu plnění, doložit objednávku, dodací list, předávací protokol;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doklad o zaplacení;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smlouva o dílo;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 xml:space="preserve">kolaudační rozhodnutí, 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 xml:space="preserve">rozhodnutí o předčasném užití stavby, 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rozhodnutí o prozatímním užívání ke zkušebnímu provozu</w:t>
            </w:r>
            <w:r w:rsidR="00F75CD5">
              <w:rPr>
                <w:sz w:val="22"/>
                <w:szCs w:val="22"/>
              </w:rPr>
              <w:t>.</w:t>
            </w:r>
          </w:p>
          <w:p w:rsidR="002F35CE" w:rsidRPr="00A5788E" w:rsidRDefault="002F35CE" w:rsidP="00687575">
            <w:pPr>
              <w:pStyle w:val="Odstavecseseznamem"/>
              <w:spacing w:line="276" w:lineRule="auto"/>
              <w:ind w:left="375"/>
              <w:rPr>
                <w:sz w:val="22"/>
                <w:szCs w:val="22"/>
              </w:rPr>
            </w:pPr>
          </w:p>
        </w:tc>
      </w:tr>
      <w:tr w:rsidR="002F35CE" w:rsidRPr="00A5788E" w:rsidTr="00855484">
        <w:tc>
          <w:tcPr>
            <w:tcW w:w="19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F0" w:rsidRPr="00112D03" w:rsidRDefault="000B3AF0" w:rsidP="000B3AF0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12D03">
              <w:rPr>
                <w:rFonts w:asciiTheme="majorHAnsi" w:hAnsiTheme="majorHAnsi"/>
                <w:b/>
                <w:sz w:val="22"/>
                <w:szCs w:val="22"/>
              </w:rPr>
              <w:t xml:space="preserve">Nákup pozemků </w:t>
            </w:r>
          </w:p>
          <w:p w:rsidR="000B3AF0" w:rsidRPr="00112D03" w:rsidRDefault="000B3AF0" w:rsidP="000B3AF0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theme="minorBidi"/>
                <w:b/>
                <w:sz w:val="22"/>
                <w:szCs w:val="22"/>
              </w:rPr>
            </w:pPr>
            <w:r w:rsidRPr="00112D03">
              <w:rPr>
                <w:rFonts w:cstheme="minorBidi"/>
                <w:b/>
                <w:sz w:val="22"/>
                <w:szCs w:val="22"/>
              </w:rPr>
              <w:t xml:space="preserve">do 10 % celkových způsobilých výdajů projektu; </w:t>
            </w:r>
          </w:p>
          <w:p w:rsidR="000B3AF0" w:rsidRPr="00112D03" w:rsidRDefault="000B3AF0" w:rsidP="000B3AF0">
            <w:pPr>
              <w:pStyle w:val="Odstavecseseznamem"/>
              <w:numPr>
                <w:ilvl w:val="0"/>
                <w:numId w:val="3"/>
              </w:numPr>
              <w:tabs>
                <w:tab w:val="left" w:pos="4050"/>
              </w:tabs>
              <w:spacing w:after="0"/>
              <w:rPr>
                <w:rFonts w:cstheme="minorBidi"/>
                <w:b/>
                <w:sz w:val="22"/>
                <w:szCs w:val="22"/>
              </w:rPr>
            </w:pPr>
            <w:r w:rsidRPr="00112D03">
              <w:rPr>
                <w:rFonts w:cstheme="minorBidi"/>
                <w:b/>
                <w:sz w:val="22"/>
                <w:szCs w:val="22"/>
              </w:rPr>
              <w:t>pořizovací cena max. do výše ceny zjištěné znaleckým posudkem.</w:t>
            </w:r>
          </w:p>
          <w:p w:rsidR="000B3AF0" w:rsidRPr="00112D03" w:rsidRDefault="000B3AF0" w:rsidP="000B3AF0">
            <w:pPr>
              <w:tabs>
                <w:tab w:val="left" w:pos="4050"/>
              </w:tabs>
              <w:spacing w:after="0"/>
              <w:ind w:left="360"/>
              <w:rPr>
                <w:b/>
                <w:sz w:val="22"/>
                <w:szCs w:val="22"/>
              </w:rPr>
            </w:pPr>
          </w:p>
          <w:p w:rsidR="000B3AF0" w:rsidRPr="00112D03" w:rsidRDefault="000B3AF0" w:rsidP="000B3AF0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12D03">
              <w:rPr>
                <w:rFonts w:asciiTheme="majorHAnsi" w:hAnsiTheme="majorHAnsi"/>
                <w:b/>
                <w:sz w:val="22"/>
                <w:szCs w:val="22"/>
              </w:rPr>
              <w:t>Nákup staveb</w:t>
            </w:r>
          </w:p>
          <w:p w:rsidR="002F35CE" w:rsidRPr="00112D03" w:rsidRDefault="000B3AF0" w:rsidP="000B3AF0">
            <w:pPr>
              <w:pStyle w:val="Odstavecseseznamem"/>
              <w:numPr>
                <w:ilvl w:val="0"/>
                <w:numId w:val="3"/>
              </w:numPr>
              <w:tabs>
                <w:tab w:val="left" w:pos="4050"/>
              </w:tabs>
              <w:spacing w:after="0"/>
              <w:rPr>
                <w:b/>
                <w:sz w:val="22"/>
                <w:szCs w:val="22"/>
              </w:rPr>
            </w:pPr>
            <w:r w:rsidRPr="00112D03">
              <w:rPr>
                <w:rFonts w:cstheme="minorBidi"/>
                <w:b/>
                <w:sz w:val="22"/>
                <w:szCs w:val="22"/>
              </w:rPr>
              <w:t>pořizovací cena max. do výše ceny zjištěné znaleckým posudkem</w:t>
            </w:r>
          </w:p>
        </w:tc>
        <w:tc>
          <w:tcPr>
            <w:tcW w:w="3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F0" w:rsidRPr="00112D03" w:rsidRDefault="000B3AF0" w:rsidP="000B3AF0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112D03">
              <w:rPr>
                <w:sz w:val="22"/>
                <w:szCs w:val="22"/>
              </w:rPr>
              <w:t>doklad o zaplacení;</w:t>
            </w:r>
          </w:p>
          <w:p w:rsidR="000B3AF0" w:rsidRPr="00112D03" w:rsidRDefault="000B3AF0" w:rsidP="000B3AF0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112D03">
              <w:rPr>
                <w:sz w:val="22"/>
                <w:szCs w:val="22"/>
              </w:rPr>
              <w:t xml:space="preserve">kupní smlouva; </w:t>
            </w:r>
          </w:p>
          <w:p w:rsidR="000B3AF0" w:rsidRPr="00112D03" w:rsidRDefault="000B3AF0" w:rsidP="000B3AF0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112D03">
              <w:rPr>
                <w:sz w:val="22"/>
                <w:szCs w:val="22"/>
              </w:rPr>
              <w:t>znalecký posudek ne starší 6 měsíců před datem pořízení nemovitosti;</w:t>
            </w:r>
          </w:p>
          <w:p w:rsidR="000B3AF0" w:rsidRPr="00112D03" w:rsidRDefault="000B3AF0" w:rsidP="000B3AF0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112D03">
              <w:rPr>
                <w:sz w:val="22"/>
                <w:szCs w:val="22"/>
              </w:rPr>
              <w:t>doložení vlastnictví (výpis z katastru nemovitostí, popř. návrh na vklad do katastru nemovitostí, vyrozumění katastrálního úřadu o zapsání vlastnického práva k pozemku/stavbě). </w:t>
            </w:r>
          </w:p>
          <w:p w:rsidR="002F35CE" w:rsidRPr="00112D03" w:rsidRDefault="002F35CE" w:rsidP="000B3AF0">
            <w:pPr>
              <w:pStyle w:val="Odstavecseseznamem"/>
              <w:spacing w:line="276" w:lineRule="auto"/>
              <w:ind w:left="375"/>
              <w:rPr>
                <w:sz w:val="22"/>
                <w:szCs w:val="22"/>
              </w:rPr>
            </w:pPr>
          </w:p>
        </w:tc>
      </w:tr>
      <w:tr w:rsidR="002F35CE" w:rsidRPr="00A5788E" w:rsidTr="00855484">
        <w:tc>
          <w:tcPr>
            <w:tcW w:w="19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sz w:val="22"/>
                <w:szCs w:val="22"/>
              </w:rPr>
              <w:t xml:space="preserve">Zabezpečení výstavby 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5788E">
              <w:rPr>
                <w:b/>
                <w:sz w:val="22"/>
                <w:szCs w:val="22"/>
              </w:rPr>
              <w:t>technický dozor investora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5788E">
              <w:rPr>
                <w:b/>
                <w:sz w:val="22"/>
                <w:szCs w:val="22"/>
              </w:rPr>
              <w:t>BOZP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23"/>
              </w:num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A5788E">
              <w:rPr>
                <w:b/>
                <w:bCs/>
                <w:sz w:val="22"/>
                <w:szCs w:val="22"/>
              </w:rPr>
              <w:t>autorský dozor</w:t>
            </w:r>
          </w:p>
          <w:p w:rsidR="002F35CE" w:rsidRPr="00A5788E" w:rsidRDefault="002F35CE" w:rsidP="00855484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3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CE" w:rsidRPr="00A5788E" w:rsidRDefault="002F35CE" w:rsidP="002F35CE">
            <w:pPr>
              <w:pStyle w:val="Odstavecseseznamem"/>
              <w:numPr>
                <w:ilvl w:val="0"/>
                <w:numId w:val="28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 xml:space="preserve">účetní/daňové doklady se zřejmou identifikací předmětu plnění pro posouzení způsobilosti; 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28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pokud nelze posoudit způsobilost výdaje podle identifikace předmětu plnění, doložit objednávku, dodací list, předávací protokol;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28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doklad o zaplacení;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28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smlouva</w:t>
            </w:r>
            <w:r w:rsidR="00F75CD5">
              <w:rPr>
                <w:sz w:val="22"/>
                <w:szCs w:val="22"/>
              </w:rPr>
              <w:t>.</w:t>
            </w:r>
          </w:p>
        </w:tc>
      </w:tr>
      <w:tr w:rsidR="002F35CE" w:rsidRPr="00A5788E" w:rsidTr="00855484">
        <w:trPr>
          <w:trHeight w:val="269"/>
        </w:trPr>
        <w:tc>
          <w:tcPr>
            <w:tcW w:w="19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sz w:val="22"/>
                <w:szCs w:val="22"/>
              </w:rPr>
              <w:t>Projektová dokumentace</w:t>
            </w:r>
          </w:p>
          <w:p w:rsidR="002F35CE" w:rsidRPr="00A5788E" w:rsidRDefault="002F35CE" w:rsidP="002F35CE">
            <w:pPr>
              <w:pStyle w:val="Odstavecseseznamem"/>
              <w:keepNext/>
              <w:keepLines/>
              <w:numPr>
                <w:ilvl w:val="0"/>
                <w:numId w:val="4"/>
              </w:numPr>
              <w:spacing w:before="480" w:after="0" w:line="276" w:lineRule="auto"/>
              <w:jc w:val="left"/>
              <w:rPr>
                <w:b/>
                <w:sz w:val="22"/>
                <w:szCs w:val="22"/>
              </w:rPr>
            </w:pPr>
            <w:r w:rsidRPr="00A5788E">
              <w:rPr>
                <w:b/>
                <w:sz w:val="22"/>
                <w:szCs w:val="22"/>
              </w:rPr>
              <w:t xml:space="preserve">projektové dokumentace stavby </w:t>
            </w:r>
          </w:p>
          <w:p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CE" w:rsidRPr="00A5788E" w:rsidRDefault="002F35CE" w:rsidP="002F35CE">
            <w:pPr>
              <w:pStyle w:val="Odstavecseseznamem"/>
              <w:numPr>
                <w:ilvl w:val="0"/>
                <w:numId w:val="29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lastRenderedPageBreak/>
              <w:t xml:space="preserve">účetní/daňové doklady se zřejmou identifikací předmětu plnění pro posouzení způsobilosti; 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29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pokud nelze posoudit způsobilost výdaje podle identifikace předmětu plnění, doložit objednávku, dodací list, předávací protokol;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29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lastRenderedPageBreak/>
              <w:t>doklad o zaplacení;</w:t>
            </w:r>
          </w:p>
          <w:p w:rsidR="002F35CE" w:rsidRPr="00A5788E" w:rsidRDefault="002F35CE" w:rsidP="00F75CD5">
            <w:pPr>
              <w:pStyle w:val="Odstavecseseznamem"/>
              <w:numPr>
                <w:ilvl w:val="0"/>
                <w:numId w:val="29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smlouva</w:t>
            </w:r>
            <w:r w:rsidR="00F75CD5">
              <w:rPr>
                <w:sz w:val="22"/>
                <w:szCs w:val="22"/>
              </w:rPr>
              <w:t>.</w:t>
            </w:r>
            <w:r w:rsidRPr="00A5788E">
              <w:rPr>
                <w:sz w:val="22"/>
                <w:szCs w:val="22"/>
              </w:rPr>
              <w:t xml:space="preserve"> </w:t>
            </w:r>
          </w:p>
        </w:tc>
      </w:tr>
      <w:tr w:rsidR="002F35CE" w:rsidRPr="00A5788E" w:rsidTr="00855484">
        <w:tc>
          <w:tcPr>
            <w:tcW w:w="19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Pořízení drobného hmotného a nehmotného majetku </w:t>
            </w:r>
          </w:p>
          <w:p w:rsidR="002F35CE" w:rsidRPr="00A5788E" w:rsidRDefault="002F35CE" w:rsidP="00855484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A5788E">
              <w:rPr>
                <w:rFonts w:asciiTheme="majorHAnsi" w:hAnsiTheme="majorHAnsi"/>
                <w:b/>
                <w:sz w:val="22"/>
                <w:szCs w:val="22"/>
              </w:rPr>
              <w:t xml:space="preserve">Pořízení dlouhodobého hmotného a nehmotného majetku </w:t>
            </w:r>
          </w:p>
        </w:tc>
        <w:tc>
          <w:tcPr>
            <w:tcW w:w="3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CE" w:rsidRPr="00A5788E" w:rsidRDefault="002F35CE" w:rsidP="002F35CE">
            <w:pPr>
              <w:pStyle w:val="Odstavecseseznamem"/>
              <w:numPr>
                <w:ilvl w:val="0"/>
                <w:numId w:val="30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 xml:space="preserve">účetní/daňové doklady se zřejmou identifikací předmětu plnění pro posouzení způsobilosti; 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30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pokud nelze posoudit způsobilost výdaje podle identifikace předmětu plnění, doložit objednávku, dodací list, předávací protokol;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30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doklad o zaplacení;</w:t>
            </w:r>
          </w:p>
          <w:p w:rsidR="002F35CE" w:rsidRPr="00F75CD5" w:rsidRDefault="002F35CE" w:rsidP="00F75CD5">
            <w:pPr>
              <w:pStyle w:val="Odstavecseseznamem"/>
              <w:numPr>
                <w:ilvl w:val="0"/>
                <w:numId w:val="30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F75CD5">
              <w:rPr>
                <w:sz w:val="22"/>
                <w:szCs w:val="22"/>
              </w:rPr>
              <w:t>smlouva;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30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znalecký posudek v případě nákupu použitého dlouhodobého hmotného majetku,</w:t>
            </w:r>
            <w:r>
              <w:t xml:space="preserve"> který </w:t>
            </w:r>
            <w:r w:rsidRPr="001A74EA">
              <w:rPr>
                <w:sz w:val="22"/>
                <w:szCs w:val="22"/>
              </w:rPr>
              <w:t>nesmí být starší než 6 měsíců před pořízením</w:t>
            </w:r>
            <w:r>
              <w:rPr>
                <w:sz w:val="22"/>
                <w:szCs w:val="22"/>
              </w:rPr>
              <w:t xml:space="preserve"> </w:t>
            </w:r>
            <w:r w:rsidRPr="00CE36A4">
              <w:rPr>
                <w:sz w:val="22"/>
                <w:szCs w:val="22"/>
              </w:rPr>
              <w:t xml:space="preserve">a jeho pořizovací </w:t>
            </w:r>
            <w:r w:rsidRPr="009955CA">
              <w:rPr>
                <w:sz w:val="22"/>
                <w:szCs w:val="22"/>
              </w:rPr>
              <w:t xml:space="preserve">cena je </w:t>
            </w:r>
            <w:r w:rsidRPr="00CE36A4">
              <w:rPr>
                <w:sz w:val="22"/>
                <w:szCs w:val="22"/>
              </w:rPr>
              <w:t>nižší, než výdaje na nov</w:t>
            </w:r>
            <w:r>
              <w:rPr>
                <w:sz w:val="22"/>
                <w:szCs w:val="22"/>
              </w:rPr>
              <w:t>ý</w:t>
            </w:r>
            <w:r w:rsidRPr="00CE36A4">
              <w:rPr>
                <w:sz w:val="22"/>
                <w:szCs w:val="22"/>
              </w:rPr>
              <w:t xml:space="preserve"> obdobn</w:t>
            </w:r>
            <w:r>
              <w:rPr>
                <w:sz w:val="22"/>
                <w:szCs w:val="22"/>
              </w:rPr>
              <w:t>ý</w:t>
            </w:r>
            <w:r w:rsidRPr="00CE36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majetek</w:t>
            </w:r>
            <w:r w:rsidRPr="00CE36A4">
              <w:rPr>
                <w:sz w:val="22"/>
                <w:szCs w:val="22"/>
              </w:rPr>
              <w:t>.</w:t>
            </w:r>
          </w:p>
        </w:tc>
      </w:tr>
      <w:tr w:rsidR="002F35CE" w:rsidRPr="00A5788E" w:rsidTr="00855484">
        <w:tc>
          <w:tcPr>
            <w:tcW w:w="19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bCs/>
                <w:sz w:val="22"/>
                <w:szCs w:val="22"/>
              </w:rPr>
              <w:t>Pořízení služeb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A5788E">
              <w:rPr>
                <w:b/>
                <w:bCs/>
                <w:sz w:val="22"/>
                <w:szCs w:val="22"/>
              </w:rPr>
              <w:t>Podnikatelský plán (max. 20 000 Kč</w:t>
            </w:r>
            <w:r>
              <w:rPr>
                <w:b/>
                <w:bCs/>
                <w:sz w:val="22"/>
                <w:szCs w:val="22"/>
              </w:rPr>
              <w:t xml:space="preserve"> včetně DPH</w:t>
            </w:r>
            <w:r w:rsidRPr="00A5788E">
              <w:rPr>
                <w:b/>
                <w:bCs/>
                <w:sz w:val="22"/>
                <w:szCs w:val="22"/>
              </w:rPr>
              <w:t>)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A5788E">
              <w:rPr>
                <w:b/>
                <w:bCs/>
                <w:sz w:val="22"/>
                <w:szCs w:val="22"/>
              </w:rPr>
              <w:t>příprava a realizace zadávacích a výběrových řízení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A5788E">
              <w:rPr>
                <w:b/>
                <w:bCs/>
                <w:sz w:val="22"/>
                <w:szCs w:val="22"/>
              </w:rPr>
              <w:t>ocenění pozemků a staveb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A5788E">
              <w:rPr>
                <w:b/>
                <w:bCs/>
                <w:sz w:val="22"/>
                <w:szCs w:val="22"/>
              </w:rPr>
              <w:t>školení spojené s uváděním pořizovaného majetku do provozu</w:t>
            </w:r>
          </w:p>
        </w:tc>
        <w:tc>
          <w:tcPr>
            <w:tcW w:w="3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CE" w:rsidRPr="00A5788E" w:rsidRDefault="002F35CE" w:rsidP="002F35CE">
            <w:pPr>
              <w:pStyle w:val="Odstavecseseznamem"/>
              <w:numPr>
                <w:ilvl w:val="0"/>
                <w:numId w:val="31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účetní/daňové doklady s identifikací předmětu plnění pro posouzení způsobilosti;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31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pokud nelze přesně posoudit způsobilost výdaje účetního nebo daňového dokladu, doložit jiné relevantní doklady, např. objednávku, dodací list, předávací protokol;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31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doklady o zaplacení; výdaje za opakované výběrové řízení jsou způsobilé pouze v případě zrušení výběrového řízení podle zákona,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31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 xml:space="preserve">smlouva o poskytnutí služeb, smlouva o dílo; 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31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způsob výpočtu alikvotní částky, pokud se uplatňuje poměrná část výdaje pro projekt;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31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doklad o zaplacení,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31"/>
              </w:numPr>
              <w:suppressAutoHyphens/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popis způsobu výběru ceny od dodavatelů (neplatí pro ceny stanovené znaleckým posudkem a při výběru dodavatele na základě výběrového řízení).</w:t>
            </w:r>
          </w:p>
        </w:tc>
      </w:tr>
      <w:tr w:rsidR="002F35CE" w:rsidRPr="00A5788E" w:rsidTr="00855484">
        <w:tc>
          <w:tcPr>
            <w:tcW w:w="19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bCs/>
                <w:sz w:val="22"/>
                <w:szCs w:val="22"/>
              </w:rPr>
              <w:t>Povinná publicita</w:t>
            </w:r>
          </w:p>
        </w:tc>
        <w:tc>
          <w:tcPr>
            <w:tcW w:w="3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CE" w:rsidRPr="00A5788E" w:rsidRDefault="002F35CE" w:rsidP="002F35CE">
            <w:pPr>
              <w:pStyle w:val="Odstavecseseznamem"/>
              <w:numPr>
                <w:ilvl w:val="0"/>
                <w:numId w:val="32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účetní/daňové doklady s identifikací předmětu plnění pro posouzení způsobilosti;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32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pokud nelze posoudit způsobilost výdaje podle identifikace předmětu plnění, doložit objednávku, dodací list, předávací protokol;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32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smlouva o poskytnutí služeb, smlouva o dílo;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32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doklad o zaplacení</w:t>
            </w:r>
            <w:r w:rsidR="00F75CD5">
              <w:rPr>
                <w:sz w:val="22"/>
                <w:szCs w:val="22"/>
              </w:rPr>
              <w:t>.</w:t>
            </w:r>
          </w:p>
          <w:p w:rsidR="002F35CE" w:rsidRPr="00A5788E" w:rsidRDefault="002F35CE" w:rsidP="00687575">
            <w:pPr>
              <w:pStyle w:val="Odstavecseseznamem"/>
              <w:spacing w:line="276" w:lineRule="auto"/>
              <w:ind w:left="375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F35CE" w:rsidRPr="00A5788E" w:rsidTr="00855484">
        <w:tc>
          <w:tcPr>
            <w:tcW w:w="19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sz w:val="22"/>
                <w:szCs w:val="22"/>
              </w:rPr>
              <w:t>DPH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5788E">
              <w:rPr>
                <w:b/>
                <w:sz w:val="22"/>
                <w:szCs w:val="22"/>
              </w:rPr>
              <w:lastRenderedPageBreak/>
              <w:t>pokud není nárok na odpočet vstupu u plátců DPH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5788E">
              <w:rPr>
                <w:b/>
                <w:sz w:val="22"/>
                <w:szCs w:val="22"/>
              </w:rPr>
              <w:t>DPH je způsobilým výdajem, jen je-li způsobilým výdajem plnění, ke kterému se vztahuje.</w:t>
            </w:r>
          </w:p>
          <w:p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5CE" w:rsidRPr="00A5788E" w:rsidRDefault="002F35CE" w:rsidP="002F35CE">
            <w:pPr>
              <w:pStyle w:val="Odstavecseseznamem"/>
              <w:numPr>
                <w:ilvl w:val="0"/>
                <w:numId w:val="33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lastRenderedPageBreak/>
              <w:t xml:space="preserve">registrace k DPH, pokud není součástí žádosti o podporu, příp. při změně z neplátce na plátce </w:t>
            </w:r>
            <w:r w:rsidRPr="00A5788E">
              <w:rPr>
                <w:sz w:val="22"/>
                <w:szCs w:val="22"/>
              </w:rPr>
              <w:lastRenderedPageBreak/>
              <w:t>v průběhu realizace projektu;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33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 xml:space="preserve">při využití plnění pro ekonomickou činnost a osvobozená plnění se dokládá výše skutečného (vypořádacího) koeficientu za vypořádávané období (výdaj se považuje za doložený až na základě vypořádacího koeficientu, kdy je známá skutečná výše výdaje); 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33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daňové/účetní doklady s vyznačeným základem daně a sazbou DPH a doklad o úhradě dodavateli;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34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při využití přenesené daňové povinnosti kopie evidence pro daňové účely a kopie výpisu z bankovního účtu jako doklad o úhradě daňové povinnosti OFS.</w:t>
            </w:r>
          </w:p>
        </w:tc>
      </w:tr>
      <w:tr w:rsidR="002F35CE" w:rsidRPr="00A5788E" w:rsidTr="00855484">
        <w:tc>
          <w:tcPr>
            <w:tcW w:w="192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Účetní doklady do 10 000 Kč</w:t>
            </w:r>
          </w:p>
        </w:tc>
        <w:tc>
          <w:tcPr>
            <w:tcW w:w="30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F35CE" w:rsidRPr="00A5788E" w:rsidRDefault="002F35CE" w:rsidP="002F35CE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338" w:hanging="284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 xml:space="preserve">Výdaje do 10 000 Kč lze uvést v Seznamu účetních dokladů v MS2014+ a nedokládat k nim faktury, paragony a další účetní doklady. 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338" w:hanging="284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 xml:space="preserve">Maximální limit pro začlenění do seznamu účetních dokladů je 10 000 Kč včetně DPH za jeden účetní doklad. </w:t>
            </w:r>
          </w:p>
          <w:p w:rsidR="002F35CE" w:rsidRPr="00A5788E" w:rsidRDefault="002F35CE" w:rsidP="002F35CE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338" w:hanging="284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Pro tyto výdaje platí povinnost předložit v případě kontroly originály příslušných účetních dokladů.</w:t>
            </w:r>
          </w:p>
        </w:tc>
      </w:tr>
    </w:tbl>
    <w:p w:rsidR="002F7B44" w:rsidRDefault="002F7B44" w:rsidP="00054512">
      <w:pPr>
        <w:spacing w:line="276" w:lineRule="auto"/>
      </w:pPr>
    </w:p>
    <w:sectPr w:rsidR="002F7B44" w:rsidSect="001C43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C0" w:rsidRDefault="005B0AC0" w:rsidP="00FF4CE5">
      <w:pPr>
        <w:spacing w:after="0"/>
      </w:pPr>
      <w:r>
        <w:separator/>
      </w:r>
    </w:p>
  </w:endnote>
  <w:endnote w:type="continuationSeparator" w:id="0">
    <w:p w:rsidR="005B0AC0" w:rsidRDefault="005B0AC0" w:rsidP="00FF4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E4" w:rsidRDefault="001C43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372915"/>
      <w:docPartObj>
        <w:docPartGallery w:val="Page Numbers (Bottom of Page)"/>
        <w:docPartUnique/>
      </w:docPartObj>
    </w:sdtPr>
    <w:sdtEndPr/>
    <w:sdtContent>
      <w:p w:rsidR="00B75437" w:rsidRDefault="00B75437">
        <w:pPr>
          <w:pStyle w:val="Zpat"/>
          <w:jc w:val="center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B75437" w:rsidRPr="00E47FC1" w:rsidTr="007512C5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B75437" w:rsidRPr="00E47FC1" w:rsidRDefault="00B75437" w:rsidP="007512C5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B75437" w:rsidRPr="00E47FC1" w:rsidRDefault="00B75437" w:rsidP="007512C5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r w:rsidRPr="00E47FC1">
                <w:rPr>
                  <w:rFonts w:ascii="Arial" w:hAnsi="Arial" w:cs="Arial"/>
                  <w:sz w:val="20"/>
                </w:rPr>
                <w:t xml:space="preserve">Strana 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</w:rPr>
                <w:fldChar w:fldCharType="separate"/>
              </w:r>
              <w:r w:rsidR="00687575">
                <w:rPr>
                  <w:rStyle w:val="slostrnky"/>
                  <w:rFonts w:ascii="Arial" w:hAnsi="Arial" w:cs="Arial"/>
                  <w:noProof/>
                </w:rPr>
                <w:t>4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</w:rPr>
                <w:fldChar w:fldCharType="separate"/>
              </w:r>
              <w:r w:rsidR="00687575">
                <w:rPr>
                  <w:rStyle w:val="slostrnky"/>
                  <w:rFonts w:ascii="Arial" w:hAnsi="Arial" w:cs="Arial"/>
                  <w:noProof/>
                </w:rPr>
                <w:t>4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end"/>
              </w:r>
            </w:p>
          </w:tc>
        </w:tr>
      </w:tbl>
      <w:p w:rsidR="008427CF" w:rsidRDefault="00687575">
        <w:pPr>
          <w:pStyle w:val="Zpat"/>
          <w:jc w:val="center"/>
        </w:pPr>
      </w:p>
    </w:sdtContent>
  </w:sdt>
  <w:p w:rsidR="008427CF" w:rsidRDefault="008427C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E4" w:rsidRDefault="001C43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C0" w:rsidRDefault="005B0AC0" w:rsidP="00FF4CE5">
      <w:pPr>
        <w:spacing w:after="0"/>
      </w:pPr>
      <w:r>
        <w:separator/>
      </w:r>
    </w:p>
  </w:footnote>
  <w:footnote w:type="continuationSeparator" w:id="0">
    <w:p w:rsidR="005B0AC0" w:rsidRDefault="005B0AC0" w:rsidP="00FF4C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E4" w:rsidRDefault="001C43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E4" w:rsidRDefault="001C43E4">
    <w:pPr>
      <w:pStyle w:val="Zhlav"/>
    </w:pPr>
    <w:r>
      <w:rPr>
        <w:noProof/>
        <w:lang w:eastAsia="cs-CZ"/>
      </w:rPr>
      <w:drawing>
        <wp:inline distT="0" distB="0" distL="0" distR="0" wp14:anchorId="5CC3BE6D" wp14:editId="5C6D42C6">
          <wp:extent cx="5270500" cy="869950"/>
          <wp:effectExtent l="0" t="0" r="6350" b="6350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E5" w:rsidRDefault="00FF4CE5">
    <w:pPr>
      <w:pStyle w:val="Zhlav"/>
    </w:pPr>
    <w:r>
      <w:rPr>
        <w:noProof/>
        <w:lang w:eastAsia="cs-CZ"/>
      </w:rPr>
      <w:drawing>
        <wp:inline distT="0" distB="0" distL="0" distR="0" wp14:anchorId="3FB77169" wp14:editId="7B869844">
          <wp:extent cx="5270500" cy="869950"/>
          <wp:effectExtent l="0" t="0" r="6350" b="6350"/>
          <wp:docPr id="4" name="Obrázek 4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894"/>
    <w:multiLevelType w:val="hybridMultilevel"/>
    <w:tmpl w:val="9F0AB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2F0C"/>
    <w:multiLevelType w:val="hybridMultilevel"/>
    <w:tmpl w:val="2D1A8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84C3E"/>
    <w:multiLevelType w:val="hybridMultilevel"/>
    <w:tmpl w:val="35E61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266BA"/>
    <w:multiLevelType w:val="hybridMultilevel"/>
    <w:tmpl w:val="68586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C69B4"/>
    <w:multiLevelType w:val="hybridMultilevel"/>
    <w:tmpl w:val="F8068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20E17"/>
    <w:multiLevelType w:val="hybridMultilevel"/>
    <w:tmpl w:val="8B1AC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3736B"/>
    <w:multiLevelType w:val="hybridMultilevel"/>
    <w:tmpl w:val="4D92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83612"/>
    <w:multiLevelType w:val="hybridMultilevel"/>
    <w:tmpl w:val="02D03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86F77"/>
    <w:multiLevelType w:val="hybridMultilevel"/>
    <w:tmpl w:val="3648B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CE57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1133D"/>
    <w:multiLevelType w:val="hybridMultilevel"/>
    <w:tmpl w:val="F4FE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83DC9"/>
    <w:multiLevelType w:val="hybridMultilevel"/>
    <w:tmpl w:val="F1E44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E34A2"/>
    <w:multiLevelType w:val="hybridMultilevel"/>
    <w:tmpl w:val="CD722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42971"/>
    <w:multiLevelType w:val="hybridMultilevel"/>
    <w:tmpl w:val="12943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81C89"/>
    <w:multiLevelType w:val="hybridMultilevel"/>
    <w:tmpl w:val="D3D4E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D3E12"/>
    <w:multiLevelType w:val="hybridMultilevel"/>
    <w:tmpl w:val="D5D03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C08AE"/>
    <w:multiLevelType w:val="hybridMultilevel"/>
    <w:tmpl w:val="B04CE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A6EDA"/>
    <w:multiLevelType w:val="hybridMultilevel"/>
    <w:tmpl w:val="FFC86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C74DE"/>
    <w:multiLevelType w:val="hybridMultilevel"/>
    <w:tmpl w:val="77021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A14C0"/>
    <w:multiLevelType w:val="hybridMultilevel"/>
    <w:tmpl w:val="9034A5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90D70"/>
    <w:multiLevelType w:val="hybridMultilevel"/>
    <w:tmpl w:val="7C52C97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897508"/>
    <w:multiLevelType w:val="hybridMultilevel"/>
    <w:tmpl w:val="E55E0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E44565"/>
    <w:multiLevelType w:val="hybridMultilevel"/>
    <w:tmpl w:val="F89E5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225AC"/>
    <w:multiLevelType w:val="hybridMultilevel"/>
    <w:tmpl w:val="39CA6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4599F"/>
    <w:multiLevelType w:val="hybridMultilevel"/>
    <w:tmpl w:val="E14A9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185944"/>
    <w:multiLevelType w:val="hybridMultilevel"/>
    <w:tmpl w:val="A538E9A0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>
    <w:nsid w:val="77443CEE"/>
    <w:multiLevelType w:val="hybridMultilevel"/>
    <w:tmpl w:val="F6DA92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6D55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C67F4"/>
    <w:multiLevelType w:val="hybridMultilevel"/>
    <w:tmpl w:val="70E0A4A8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7C9C4E57"/>
    <w:multiLevelType w:val="hybridMultilevel"/>
    <w:tmpl w:val="2ED61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55A55"/>
    <w:multiLevelType w:val="multilevel"/>
    <w:tmpl w:val="547A3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5"/>
  </w:num>
  <w:num w:numId="4">
    <w:abstractNumId w:val="4"/>
  </w:num>
  <w:num w:numId="5">
    <w:abstractNumId w:val="5"/>
  </w:num>
  <w:num w:numId="6">
    <w:abstractNumId w:val="27"/>
  </w:num>
  <w:num w:numId="7">
    <w:abstractNumId w:val="1"/>
  </w:num>
  <w:num w:numId="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</w:num>
  <w:num w:numId="10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4"/>
  </w:num>
  <w:num w:numId="13">
    <w:abstractNumId w:val="5"/>
  </w:num>
  <w:num w:numId="14">
    <w:abstractNumId w:val="27"/>
  </w:num>
  <w:num w:numId="15">
    <w:abstractNumId w:val="1"/>
  </w:num>
  <w:num w:numId="16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</w:num>
  <w:num w:numId="18">
    <w:abstractNumId w:val="19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2"/>
  </w:num>
  <w:num w:numId="22">
    <w:abstractNumId w:val="7"/>
  </w:num>
  <w:num w:numId="23">
    <w:abstractNumId w:val="14"/>
  </w:num>
  <w:num w:numId="24">
    <w:abstractNumId w:val="17"/>
  </w:num>
  <w:num w:numId="25">
    <w:abstractNumId w:val="21"/>
  </w:num>
  <w:num w:numId="26">
    <w:abstractNumId w:val="16"/>
  </w:num>
  <w:num w:numId="27">
    <w:abstractNumId w:val="26"/>
  </w:num>
  <w:num w:numId="28">
    <w:abstractNumId w:val="12"/>
  </w:num>
  <w:num w:numId="29">
    <w:abstractNumId w:val="11"/>
  </w:num>
  <w:num w:numId="30">
    <w:abstractNumId w:val="24"/>
  </w:num>
  <w:num w:numId="31">
    <w:abstractNumId w:val="10"/>
  </w:num>
  <w:num w:numId="32">
    <w:abstractNumId w:val="20"/>
  </w:num>
  <w:num w:numId="33">
    <w:abstractNumId w:val="2"/>
  </w:num>
  <w:num w:numId="34">
    <w:abstractNumId w:val="0"/>
  </w:num>
  <w:num w:numId="35">
    <w:abstractNumId w:val="23"/>
  </w:num>
  <w:num w:numId="36">
    <w:abstractNumId w:val="6"/>
  </w:num>
  <w:num w:numId="37">
    <w:abstractNumId w:val="1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E5"/>
    <w:rsid w:val="00054512"/>
    <w:rsid w:val="000B3AF0"/>
    <w:rsid w:val="000B552A"/>
    <w:rsid w:val="000C5183"/>
    <w:rsid w:val="000C657B"/>
    <w:rsid w:val="00112D03"/>
    <w:rsid w:val="00195E2C"/>
    <w:rsid w:val="001C43E4"/>
    <w:rsid w:val="002F35CE"/>
    <w:rsid w:val="002F4F25"/>
    <w:rsid w:val="002F7B44"/>
    <w:rsid w:val="003B1DC1"/>
    <w:rsid w:val="0043694D"/>
    <w:rsid w:val="00573DBC"/>
    <w:rsid w:val="005B0AC0"/>
    <w:rsid w:val="00687575"/>
    <w:rsid w:val="006A6582"/>
    <w:rsid w:val="006E2346"/>
    <w:rsid w:val="006E2A5B"/>
    <w:rsid w:val="00715EBF"/>
    <w:rsid w:val="007D6E35"/>
    <w:rsid w:val="007F00C9"/>
    <w:rsid w:val="008427CF"/>
    <w:rsid w:val="00870FA3"/>
    <w:rsid w:val="008A04C9"/>
    <w:rsid w:val="00A7758A"/>
    <w:rsid w:val="00B75437"/>
    <w:rsid w:val="00B8401C"/>
    <w:rsid w:val="00BC5E20"/>
    <w:rsid w:val="00C3096C"/>
    <w:rsid w:val="00C555AB"/>
    <w:rsid w:val="00C94438"/>
    <w:rsid w:val="00C96EAE"/>
    <w:rsid w:val="00CE58EB"/>
    <w:rsid w:val="00DA53B7"/>
    <w:rsid w:val="00E920DF"/>
    <w:rsid w:val="00F63071"/>
    <w:rsid w:val="00F75CD5"/>
    <w:rsid w:val="00F84874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E5"/>
    <w:pPr>
      <w:spacing w:line="240" w:lineRule="auto"/>
    </w:pPr>
    <w:rPr>
      <w:rFonts w:ascii="Cambria" w:eastAsia="MS Mincho" w:hAnsi="Cambria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FF4CE5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FF4CE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4CE5"/>
    <w:rPr>
      <w:rFonts w:ascii="Cambria" w:eastAsia="MS Mincho" w:hAnsi="Cambria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FF4CE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4CE5"/>
    <w:rPr>
      <w:rFonts w:ascii="Cambria" w:eastAsia="MS Mincho" w:hAnsi="Cambria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C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CE5"/>
    <w:rPr>
      <w:rFonts w:ascii="Tahoma" w:eastAsia="MS Mincho" w:hAnsi="Tahoma" w:cs="Tahoma"/>
      <w:sz w:val="16"/>
      <w:szCs w:val="16"/>
      <w:lang w:eastAsia="ja-JP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FF4CE5"/>
    <w:rPr>
      <w:rFonts w:asciiTheme="majorHAnsi" w:eastAsia="MS Mincho" w:hAnsiTheme="majorHAnsi" w:cs="Times New Roman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FF4CE5"/>
    <w:pPr>
      <w:ind w:left="720"/>
      <w:contextualSpacing/>
      <w:jc w:val="both"/>
    </w:pPr>
    <w:rPr>
      <w:rFonts w:asciiTheme="majorHAnsi" w:hAnsiTheme="majorHAns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F4C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4C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4CE5"/>
    <w:rPr>
      <w:rFonts w:ascii="Cambria" w:eastAsia="MS Mincho" w:hAnsi="Cambria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4C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4CE5"/>
    <w:rPr>
      <w:rFonts w:ascii="Cambria" w:eastAsia="MS Mincho" w:hAnsi="Cambria"/>
      <w:b/>
      <w:bCs/>
      <w:sz w:val="20"/>
      <w:szCs w:val="20"/>
      <w:lang w:eastAsia="ja-JP"/>
    </w:rPr>
  </w:style>
  <w:style w:type="character" w:styleId="slostrnky">
    <w:name w:val="page number"/>
    <w:basedOn w:val="Standardnpsmoodstavce"/>
    <w:uiPriority w:val="99"/>
    <w:rsid w:val="00B75437"/>
    <w:rPr>
      <w:rFonts w:cs="Times New Roman"/>
    </w:rPr>
  </w:style>
  <w:style w:type="table" w:styleId="Mkatabulky">
    <w:name w:val="Table Grid"/>
    <w:basedOn w:val="Normlntabulka"/>
    <w:uiPriority w:val="59"/>
    <w:rsid w:val="000B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E5"/>
    <w:pPr>
      <w:spacing w:line="240" w:lineRule="auto"/>
    </w:pPr>
    <w:rPr>
      <w:rFonts w:ascii="Cambria" w:eastAsia="MS Mincho" w:hAnsi="Cambria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FF4CE5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FF4CE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4CE5"/>
    <w:rPr>
      <w:rFonts w:ascii="Cambria" w:eastAsia="MS Mincho" w:hAnsi="Cambria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FF4CE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4CE5"/>
    <w:rPr>
      <w:rFonts w:ascii="Cambria" w:eastAsia="MS Mincho" w:hAnsi="Cambria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C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CE5"/>
    <w:rPr>
      <w:rFonts w:ascii="Tahoma" w:eastAsia="MS Mincho" w:hAnsi="Tahoma" w:cs="Tahoma"/>
      <w:sz w:val="16"/>
      <w:szCs w:val="16"/>
      <w:lang w:eastAsia="ja-JP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FF4CE5"/>
    <w:rPr>
      <w:rFonts w:asciiTheme="majorHAnsi" w:eastAsia="MS Mincho" w:hAnsiTheme="majorHAnsi" w:cs="Times New Roman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FF4CE5"/>
    <w:pPr>
      <w:ind w:left="720"/>
      <w:contextualSpacing/>
      <w:jc w:val="both"/>
    </w:pPr>
    <w:rPr>
      <w:rFonts w:asciiTheme="majorHAnsi" w:hAnsiTheme="majorHAns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F4C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4C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4CE5"/>
    <w:rPr>
      <w:rFonts w:ascii="Cambria" w:eastAsia="MS Mincho" w:hAnsi="Cambria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4C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4CE5"/>
    <w:rPr>
      <w:rFonts w:ascii="Cambria" w:eastAsia="MS Mincho" w:hAnsi="Cambria"/>
      <w:b/>
      <w:bCs/>
      <w:sz w:val="20"/>
      <w:szCs w:val="20"/>
      <w:lang w:eastAsia="ja-JP"/>
    </w:rPr>
  </w:style>
  <w:style w:type="character" w:styleId="slostrnky">
    <w:name w:val="page number"/>
    <w:basedOn w:val="Standardnpsmoodstavce"/>
    <w:uiPriority w:val="99"/>
    <w:rsid w:val="00B75437"/>
    <w:rPr>
      <w:rFonts w:cs="Times New Roman"/>
    </w:rPr>
  </w:style>
  <w:style w:type="table" w:styleId="Mkatabulky">
    <w:name w:val="Table Grid"/>
    <w:basedOn w:val="Normlntabulka"/>
    <w:uiPriority w:val="59"/>
    <w:rsid w:val="000B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998A-2E5D-4690-BC44-3080A5AE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Hejduková</dc:creator>
  <cp:lastModifiedBy>Marie Špačková</cp:lastModifiedBy>
  <cp:revision>13</cp:revision>
  <dcterms:created xsi:type="dcterms:W3CDTF">2016-11-01T00:43:00Z</dcterms:created>
  <dcterms:modified xsi:type="dcterms:W3CDTF">2016-12-02T13:29:00Z</dcterms:modified>
</cp:coreProperties>
</file>